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7A658" w14:textId="283F070C" w:rsidR="00F72F28" w:rsidRPr="00B159FE" w:rsidRDefault="00F72F28" w:rsidP="003E7DC9">
      <w:pPr>
        <w:jc w:val="center"/>
        <w:rPr>
          <w:b/>
          <w:bCs/>
          <w:sz w:val="24"/>
          <w:szCs w:val="24"/>
          <w:lang w:val="en-US"/>
        </w:rPr>
      </w:pPr>
      <w:r w:rsidRPr="00B159FE">
        <w:rPr>
          <w:b/>
          <w:bCs/>
          <w:sz w:val="24"/>
          <w:szCs w:val="24"/>
          <w:lang w:val="en-US"/>
        </w:rPr>
        <w:t xml:space="preserve">gRNA design for </w:t>
      </w:r>
      <w:r w:rsidR="0058578D" w:rsidRPr="00B159FE">
        <w:rPr>
          <w:b/>
          <w:bCs/>
          <w:sz w:val="24"/>
          <w:szCs w:val="24"/>
          <w:lang w:val="en-US"/>
        </w:rPr>
        <w:t xml:space="preserve">a gene </w:t>
      </w:r>
      <w:r w:rsidRPr="00B159FE">
        <w:rPr>
          <w:b/>
          <w:bCs/>
          <w:sz w:val="24"/>
          <w:szCs w:val="24"/>
          <w:lang w:val="en-US"/>
        </w:rPr>
        <w:t>knock-out</w:t>
      </w:r>
    </w:p>
    <w:p w14:paraId="0515358A" w14:textId="5EE1ACD5" w:rsidR="009F4BB3" w:rsidRPr="00A967E4" w:rsidRDefault="00B414FD" w:rsidP="00614A24">
      <w:pPr>
        <w:jc w:val="both"/>
        <w:rPr>
          <w:lang w:val="en-US"/>
        </w:rPr>
      </w:pPr>
      <w:r w:rsidRPr="00862DF5">
        <w:rPr>
          <w:b/>
          <w:bCs/>
          <w:lang w:val="en-US"/>
        </w:rPr>
        <w:t>1</w:t>
      </w:r>
      <w:r w:rsidR="00B159FE">
        <w:rPr>
          <w:b/>
          <w:bCs/>
          <w:lang w:val="en-US"/>
        </w:rPr>
        <w:t>.</w:t>
      </w:r>
      <w:r w:rsidR="00F72F28" w:rsidRPr="00A967E4">
        <w:rPr>
          <w:lang w:val="en-US"/>
        </w:rPr>
        <w:t xml:space="preserve"> </w:t>
      </w:r>
      <w:r w:rsidR="001647E3" w:rsidRPr="00A967E4">
        <w:rPr>
          <w:lang w:val="en-US"/>
        </w:rPr>
        <w:t>S</w:t>
      </w:r>
      <w:r w:rsidR="00170A20" w:rsidRPr="00A967E4">
        <w:rPr>
          <w:lang w:val="en-US"/>
        </w:rPr>
        <w:t>elect a target sequence where to design your gRNA</w:t>
      </w:r>
      <w:r w:rsidR="00FD7E85" w:rsidRPr="00A967E4">
        <w:rPr>
          <w:lang w:val="en-US"/>
        </w:rPr>
        <w:t>:</w:t>
      </w:r>
    </w:p>
    <w:p w14:paraId="0E235406" w14:textId="55622D36" w:rsidR="00902AD2" w:rsidRPr="00A967E4" w:rsidRDefault="009F4BB3" w:rsidP="00614A24">
      <w:pPr>
        <w:pStyle w:val="ListParagraph"/>
        <w:numPr>
          <w:ilvl w:val="0"/>
          <w:numId w:val="7"/>
        </w:numPr>
        <w:jc w:val="both"/>
        <w:rPr>
          <w:lang w:val="en-US"/>
        </w:rPr>
      </w:pPr>
      <w:r w:rsidRPr="00A967E4">
        <w:rPr>
          <w:lang w:val="en-US"/>
        </w:rPr>
        <w:t>For genetic knockouts, gRNAs commonly target 5′</w:t>
      </w:r>
      <w:r w:rsidRPr="00A967E4">
        <w:rPr>
          <w:b/>
          <w:bCs/>
          <w:lang w:val="en-US"/>
        </w:rPr>
        <w:t xml:space="preserve"> constitutively expressed exons,</w:t>
      </w:r>
      <w:r w:rsidRPr="00A967E4">
        <w:rPr>
          <w:lang w:val="en-US"/>
        </w:rPr>
        <w:t xml:space="preserve"> which reduces the chances that the targeted region is removed from the mRNA due to alternative splicing. </w:t>
      </w:r>
    </w:p>
    <w:p w14:paraId="5D9BD600" w14:textId="5C7625F2" w:rsidR="00796572" w:rsidRPr="00A967E4" w:rsidRDefault="00796572" w:rsidP="00614A24">
      <w:pPr>
        <w:pStyle w:val="ListParagraph"/>
        <w:numPr>
          <w:ilvl w:val="0"/>
          <w:numId w:val="7"/>
        </w:numPr>
        <w:jc w:val="both"/>
        <w:rPr>
          <w:lang w:val="en-US"/>
        </w:rPr>
      </w:pPr>
      <w:r w:rsidRPr="00A967E4">
        <w:rPr>
          <w:lang w:val="en-US"/>
        </w:rPr>
        <w:t xml:space="preserve">As a rule of thumb, </w:t>
      </w:r>
      <w:r w:rsidRPr="00A967E4">
        <w:rPr>
          <w:b/>
          <w:bCs/>
          <w:u w:val="single"/>
          <w:lang w:val="en-US"/>
        </w:rPr>
        <w:t>avoid target sites that code for amino acids near the N’ terminus</w:t>
      </w:r>
      <w:r w:rsidRPr="00A967E4">
        <w:rPr>
          <w:lang w:val="en-US"/>
        </w:rPr>
        <w:t xml:space="preserve"> of the protein, in order to mitigate the ability of the cell to use an alternative ATG downstream of the annotated start codon. Likewise, </w:t>
      </w:r>
      <w:r w:rsidRPr="00A967E4">
        <w:rPr>
          <w:b/>
          <w:bCs/>
          <w:u w:val="single"/>
          <w:lang w:val="en-US"/>
        </w:rPr>
        <w:t>avoid target sites that code for amino acids close to the C’ terminus of the protein</w:t>
      </w:r>
      <w:r w:rsidRPr="00A967E4">
        <w:rPr>
          <w:lang w:val="en-US"/>
        </w:rPr>
        <w:t xml:space="preserve"> to maximize the chances of creating a non-functional allele. For a 1 kilobase gene, since potential target sites occur ~1 in every 8 nucleotides, restricting gRNAs to 5 – 65% of the protein coding region will still result in many dozens of gRNAs to choose from. With so many possibilities, picking a gRNA with an optimized sequence is of primary importance.</w:t>
      </w:r>
    </w:p>
    <w:p w14:paraId="3D34B711" w14:textId="643FA930" w:rsidR="0058578D" w:rsidRPr="00A967E4" w:rsidRDefault="00902AD2" w:rsidP="00614A24">
      <w:pPr>
        <w:pStyle w:val="ListParagraph"/>
        <w:numPr>
          <w:ilvl w:val="0"/>
          <w:numId w:val="7"/>
        </w:numPr>
        <w:jc w:val="both"/>
        <w:rPr>
          <w:lang w:val="en-US"/>
        </w:rPr>
      </w:pPr>
      <w:r w:rsidRPr="00A967E4">
        <w:rPr>
          <w:lang w:val="en-US"/>
        </w:rPr>
        <w:t xml:space="preserve">If possible, design </w:t>
      </w:r>
      <w:r w:rsidR="009F4BB3" w:rsidRPr="00A967E4">
        <w:rPr>
          <w:lang w:val="en-US"/>
        </w:rPr>
        <w:t xml:space="preserve">gRNAs to target exons that code for </w:t>
      </w:r>
      <w:r w:rsidR="009F4BB3" w:rsidRPr="00A967E4">
        <w:rPr>
          <w:b/>
          <w:bCs/>
          <w:lang w:val="en-US"/>
        </w:rPr>
        <w:t>known essential protein domains</w:t>
      </w:r>
      <w:r w:rsidR="009F4BB3" w:rsidRPr="00A967E4">
        <w:rPr>
          <w:lang w:val="en-US"/>
        </w:rPr>
        <w:t>. The benefit of this approach is that even non-frameshift alleles may alter protein function when they occur in important protein domains</w:t>
      </w:r>
      <w:r w:rsidR="00642382" w:rsidRPr="00A967E4">
        <w:rPr>
          <w:lang w:val="en-US"/>
        </w:rPr>
        <w:t>.</w:t>
      </w:r>
    </w:p>
    <w:p w14:paraId="22BEA8F6" w14:textId="6D457286" w:rsidR="00BC7A71" w:rsidRDefault="00796572" w:rsidP="00B377B9">
      <w:pPr>
        <w:ind w:left="360"/>
        <w:jc w:val="both"/>
        <w:rPr>
          <w:lang w:val="en-US"/>
        </w:rPr>
      </w:pPr>
      <w:r w:rsidRPr="00A967E4">
        <w:rPr>
          <w:lang w:val="en-US"/>
        </w:rPr>
        <w:t>(</w:t>
      </w:r>
      <w:r w:rsidRPr="00A967E4">
        <w:rPr>
          <w:i/>
          <w:iCs/>
          <w:lang w:val="en-US"/>
        </w:rPr>
        <w:t xml:space="preserve">Source: </w:t>
      </w:r>
      <w:proofErr w:type="spellStart"/>
      <w:r w:rsidRPr="00A967E4">
        <w:rPr>
          <w:i/>
          <w:iCs/>
          <w:lang w:val="en-US"/>
        </w:rPr>
        <w:t>Addgene</w:t>
      </w:r>
      <w:proofErr w:type="spellEnd"/>
      <w:r w:rsidR="00477103">
        <w:rPr>
          <w:i/>
          <w:iCs/>
          <w:lang w:val="en-US"/>
        </w:rPr>
        <w:t xml:space="preserve">; </w:t>
      </w:r>
      <w:hyperlink r:id="rId6" w:history="1">
        <w:r w:rsidR="00477103" w:rsidRPr="00372536">
          <w:rPr>
            <w:rStyle w:val="Hyperlink"/>
            <w:i/>
            <w:iCs/>
            <w:lang w:val="en-US"/>
          </w:rPr>
          <w:t>https://blog.addgene.org/how-to-design-your-grna-for-crispr-genome-editing</w:t>
        </w:r>
      </w:hyperlink>
      <w:r w:rsidR="00477103">
        <w:rPr>
          <w:i/>
          <w:iCs/>
          <w:lang w:val="en-US"/>
        </w:rPr>
        <w:t xml:space="preserve"> ; </w:t>
      </w:r>
      <w:hyperlink r:id="rId7" w:history="1">
        <w:r w:rsidR="00477103" w:rsidRPr="00372536">
          <w:rPr>
            <w:rStyle w:val="Hyperlink"/>
            <w:lang w:val="en-US"/>
          </w:rPr>
          <w:t>https://www.addgene.org/guides/crispr/</w:t>
        </w:r>
      </w:hyperlink>
      <w:r w:rsidRPr="00A967E4">
        <w:rPr>
          <w:lang w:val="en-US"/>
        </w:rPr>
        <w:t>)</w:t>
      </w:r>
    </w:p>
    <w:p w14:paraId="1C47664F" w14:textId="77777777" w:rsidR="00B377B9" w:rsidRPr="00B377B9" w:rsidRDefault="00B377B9" w:rsidP="00B377B9">
      <w:pPr>
        <w:ind w:left="360"/>
        <w:jc w:val="both"/>
        <w:rPr>
          <w:lang w:val="en-US"/>
        </w:rPr>
      </w:pPr>
    </w:p>
    <w:p w14:paraId="70FF9114" w14:textId="52C69B42" w:rsidR="00AC4C15" w:rsidRPr="00A967E4" w:rsidRDefault="00B414FD" w:rsidP="00614A24">
      <w:pPr>
        <w:jc w:val="both"/>
        <w:rPr>
          <w:lang w:val="en-US"/>
        </w:rPr>
      </w:pPr>
      <w:r w:rsidRPr="00862DF5">
        <w:rPr>
          <w:b/>
          <w:bCs/>
          <w:lang w:val="en-US"/>
        </w:rPr>
        <w:t>2</w:t>
      </w:r>
      <w:r w:rsidR="00B159FE">
        <w:rPr>
          <w:b/>
          <w:bCs/>
          <w:lang w:val="en-US"/>
        </w:rPr>
        <w:t>.</w:t>
      </w:r>
      <w:r w:rsidR="00862DF5">
        <w:rPr>
          <w:lang w:val="en-US"/>
        </w:rPr>
        <w:t xml:space="preserve"> </w:t>
      </w:r>
      <w:r w:rsidRPr="00A967E4">
        <w:rPr>
          <w:lang w:val="en-US"/>
        </w:rPr>
        <w:t xml:space="preserve">Take note of the gene </w:t>
      </w:r>
      <w:proofErr w:type="spellStart"/>
      <w:r w:rsidRPr="00A967E4">
        <w:rPr>
          <w:lang w:val="en-US"/>
        </w:rPr>
        <w:t>Ensembl</w:t>
      </w:r>
      <w:proofErr w:type="spellEnd"/>
      <w:r w:rsidRPr="00A967E4">
        <w:rPr>
          <w:lang w:val="en-US"/>
        </w:rPr>
        <w:t xml:space="preserve"> code (example for PDPR: </w:t>
      </w:r>
      <w:proofErr w:type="gramStart"/>
      <w:r w:rsidRPr="003D4552">
        <w:rPr>
          <w:lang w:val="en-US"/>
        </w:rPr>
        <w:t>Ensembl:ENSG</w:t>
      </w:r>
      <w:proofErr w:type="gramEnd"/>
      <w:r w:rsidRPr="003D4552">
        <w:rPr>
          <w:lang w:val="en-US"/>
        </w:rPr>
        <w:t>00000090857</w:t>
      </w:r>
      <w:r w:rsidRPr="00A967E4">
        <w:rPr>
          <w:lang w:val="en-US"/>
        </w:rPr>
        <w:t>)</w:t>
      </w:r>
      <w:r w:rsidR="00BC5856" w:rsidRPr="00A967E4">
        <w:rPr>
          <w:lang w:val="en-US"/>
        </w:rPr>
        <w:t>,</w:t>
      </w:r>
      <w:r>
        <w:rPr>
          <w:lang w:val="en-US"/>
        </w:rPr>
        <w:t xml:space="preserve"> and</w:t>
      </w:r>
      <w:r w:rsidR="00BC5856" w:rsidRPr="00A967E4">
        <w:rPr>
          <w:lang w:val="en-US"/>
        </w:rPr>
        <w:t xml:space="preserve"> </w:t>
      </w:r>
      <w:r w:rsidR="00C01136" w:rsidRPr="00A967E4">
        <w:rPr>
          <w:lang w:val="en-US"/>
        </w:rPr>
        <w:t>note the transcript info</w:t>
      </w:r>
      <w:r w:rsidR="00177D9E">
        <w:rPr>
          <w:lang w:val="en-US"/>
        </w:rPr>
        <w:t>rmation</w:t>
      </w:r>
      <w:r w:rsidR="00C01136" w:rsidRPr="00A967E4">
        <w:rPr>
          <w:lang w:val="en-US"/>
        </w:rPr>
        <w:t xml:space="preserve"> (ex</w:t>
      </w:r>
      <w:r w:rsidR="00F9510D" w:rsidRPr="00A967E4">
        <w:rPr>
          <w:lang w:val="en-US"/>
        </w:rPr>
        <w:t>ample</w:t>
      </w:r>
      <w:r w:rsidR="00C01136" w:rsidRPr="00A967E4">
        <w:rPr>
          <w:lang w:val="en-US"/>
        </w:rPr>
        <w:t xml:space="preserve"> for PDPR: </w:t>
      </w:r>
      <w:r w:rsidR="00181EA6" w:rsidRPr="00A967E4">
        <w:rPr>
          <w:lang w:val="en-US"/>
        </w:rPr>
        <w:t xml:space="preserve">Transcript </w:t>
      </w:r>
      <w:r w:rsidR="00C01136" w:rsidRPr="00A967E4">
        <w:rPr>
          <w:lang w:val="en-US"/>
        </w:rPr>
        <w:t>NM_017990</w:t>
      </w:r>
      <w:r w:rsidR="00181EA6" w:rsidRPr="00A967E4">
        <w:rPr>
          <w:lang w:val="en-US"/>
        </w:rPr>
        <w:t>;</w:t>
      </w:r>
      <w:r w:rsidR="00C01136" w:rsidRPr="00A967E4">
        <w:rPr>
          <w:lang w:val="en-US"/>
        </w:rPr>
        <w:t xml:space="preserve"> ENST00000288050.9 PDPR-201, Human CCDS set: CCDS45520)</w:t>
      </w:r>
    </w:p>
    <w:p w14:paraId="20546FCA" w14:textId="66122E89" w:rsidR="00B37A3D" w:rsidRPr="00A967E4" w:rsidRDefault="00B414FD" w:rsidP="00614A24">
      <w:pPr>
        <w:jc w:val="both"/>
        <w:rPr>
          <w:lang w:val="en-US"/>
        </w:rPr>
      </w:pPr>
      <w:r w:rsidRPr="00862DF5">
        <w:rPr>
          <w:b/>
          <w:bCs/>
          <w:lang w:val="en-US"/>
        </w:rPr>
        <w:t>3</w:t>
      </w:r>
      <w:r w:rsidR="00B159FE">
        <w:rPr>
          <w:b/>
          <w:bCs/>
          <w:lang w:val="en-US"/>
        </w:rPr>
        <w:t>.</w:t>
      </w:r>
      <w:r w:rsidR="00B71A32">
        <w:rPr>
          <w:lang w:val="en-US"/>
        </w:rPr>
        <w:t xml:space="preserve"> </w:t>
      </w:r>
      <w:r w:rsidR="00AC4C15" w:rsidRPr="00A967E4">
        <w:rPr>
          <w:lang w:val="en-US"/>
        </w:rPr>
        <w:t>L</w:t>
      </w:r>
      <w:r w:rsidR="00BC5856" w:rsidRPr="00A967E4">
        <w:rPr>
          <w:lang w:val="en-US"/>
        </w:rPr>
        <w:t xml:space="preserve">og into </w:t>
      </w:r>
      <w:proofErr w:type="spellStart"/>
      <w:r w:rsidR="00BC5856" w:rsidRPr="00A967E4">
        <w:rPr>
          <w:lang w:val="en-US"/>
        </w:rPr>
        <w:t>Benchling</w:t>
      </w:r>
      <w:proofErr w:type="spellEnd"/>
      <w:r w:rsidR="00177D9E">
        <w:rPr>
          <w:lang w:val="en-US"/>
        </w:rPr>
        <w:t xml:space="preserve"> (or create a </w:t>
      </w:r>
      <w:r w:rsidR="00FF5597">
        <w:rPr>
          <w:lang w:val="en-US"/>
        </w:rPr>
        <w:t>new</w:t>
      </w:r>
      <w:r w:rsidR="00177D9E">
        <w:rPr>
          <w:lang w:val="en-US"/>
        </w:rPr>
        <w:t xml:space="preserve"> account</w:t>
      </w:r>
      <w:r w:rsidR="00FF5597">
        <w:rPr>
          <w:lang w:val="en-US"/>
        </w:rPr>
        <w:t xml:space="preserve"> (free)</w:t>
      </w:r>
      <w:r w:rsidR="00177D9E">
        <w:rPr>
          <w:lang w:val="en-US"/>
        </w:rPr>
        <w:t>)</w:t>
      </w:r>
      <w:r w:rsidR="00AC4C15" w:rsidRPr="00A967E4">
        <w:rPr>
          <w:lang w:val="en-US"/>
        </w:rPr>
        <w:t>:</w:t>
      </w:r>
      <w:r w:rsidR="00B37A3D">
        <w:rPr>
          <w:lang w:val="en-US"/>
        </w:rPr>
        <w:t xml:space="preserve"> </w:t>
      </w:r>
      <w:hyperlink r:id="rId8" w:history="1">
        <w:r w:rsidR="00B37A3D" w:rsidRPr="006F1495">
          <w:rPr>
            <w:rStyle w:val="Hyperlink"/>
            <w:lang w:val="en-US"/>
          </w:rPr>
          <w:t>https://benchling.com/signin/welcome</w:t>
        </w:r>
      </w:hyperlink>
    </w:p>
    <w:p w14:paraId="53EDAED7" w14:textId="0A95B703" w:rsidR="002A1EA0" w:rsidRDefault="00AB134A" w:rsidP="00D335AE">
      <w:pPr>
        <w:pStyle w:val="ListParagraph"/>
        <w:numPr>
          <w:ilvl w:val="1"/>
          <w:numId w:val="8"/>
        </w:numPr>
        <w:jc w:val="both"/>
        <w:rPr>
          <w:b/>
          <w:bCs/>
          <w:lang w:val="en-US"/>
        </w:rPr>
      </w:pPr>
      <w:r>
        <w:rPr>
          <w:b/>
          <w:bCs/>
          <w:lang w:val="en-US"/>
        </w:rPr>
        <w:t>C</w:t>
      </w:r>
      <w:r w:rsidR="00FF2723" w:rsidRPr="00A967E4">
        <w:rPr>
          <w:b/>
          <w:bCs/>
          <w:lang w:val="en-US"/>
        </w:rPr>
        <w:t xml:space="preserve">reating </w:t>
      </w:r>
      <w:r w:rsidR="000F535E" w:rsidRPr="00A967E4">
        <w:rPr>
          <w:b/>
          <w:bCs/>
          <w:lang w:val="en-US"/>
        </w:rPr>
        <w:t xml:space="preserve">a </w:t>
      </w:r>
      <w:r w:rsidR="0002043A">
        <w:rPr>
          <w:b/>
          <w:bCs/>
          <w:lang w:val="en-US"/>
        </w:rPr>
        <w:t xml:space="preserve">project </w:t>
      </w:r>
      <w:r w:rsidR="000F535E" w:rsidRPr="00A967E4">
        <w:rPr>
          <w:b/>
          <w:bCs/>
          <w:lang w:val="en-US"/>
        </w:rPr>
        <w:t>f</w:t>
      </w:r>
      <w:r w:rsidR="00FF2723" w:rsidRPr="00A967E4">
        <w:rPr>
          <w:b/>
          <w:bCs/>
          <w:lang w:val="en-US"/>
        </w:rPr>
        <w:t>older and importin</w:t>
      </w:r>
      <w:r w:rsidR="00613AFE" w:rsidRPr="00A967E4">
        <w:rPr>
          <w:b/>
          <w:bCs/>
          <w:lang w:val="en-US"/>
        </w:rPr>
        <w:t>g the sequence</w:t>
      </w:r>
      <w:r w:rsidRPr="00AB134A">
        <w:rPr>
          <w:b/>
          <w:bCs/>
          <w:lang w:val="en-US"/>
        </w:rPr>
        <w:t xml:space="preserve"> </w:t>
      </w:r>
      <w:r w:rsidR="00A41A3F">
        <w:rPr>
          <w:b/>
          <w:bCs/>
          <w:lang w:val="en-US"/>
        </w:rPr>
        <w:t>using</w:t>
      </w:r>
      <w:r>
        <w:rPr>
          <w:b/>
          <w:bCs/>
          <w:lang w:val="en-US"/>
        </w:rPr>
        <w:t xml:space="preserve"> </w:t>
      </w:r>
      <w:proofErr w:type="spellStart"/>
      <w:r>
        <w:rPr>
          <w:b/>
          <w:bCs/>
          <w:lang w:val="en-US"/>
        </w:rPr>
        <w:t>Benchling</w:t>
      </w:r>
      <w:proofErr w:type="spellEnd"/>
    </w:p>
    <w:p w14:paraId="2C9AAD42" w14:textId="77777777" w:rsidR="002A1EA0" w:rsidRPr="002A1EA0" w:rsidRDefault="002A1EA0" w:rsidP="002A1EA0">
      <w:pPr>
        <w:pStyle w:val="ListParagraph"/>
        <w:ind w:left="360"/>
        <w:jc w:val="both"/>
        <w:rPr>
          <w:b/>
          <w:bCs/>
          <w:lang w:val="en-US"/>
        </w:rPr>
      </w:pPr>
    </w:p>
    <w:p w14:paraId="179CFBAB" w14:textId="77777777" w:rsidR="002A1EA0" w:rsidRDefault="0024177A" w:rsidP="002A1EA0">
      <w:pPr>
        <w:pStyle w:val="ListParagraph"/>
        <w:numPr>
          <w:ilvl w:val="2"/>
          <w:numId w:val="15"/>
        </w:numPr>
        <w:jc w:val="both"/>
        <w:rPr>
          <w:lang w:val="en-US"/>
        </w:rPr>
      </w:pPr>
      <w:r w:rsidRPr="002A1EA0">
        <w:rPr>
          <w:lang w:val="en-US"/>
        </w:rPr>
        <w:t>Create project folder by choosing “</w:t>
      </w:r>
      <w:r w:rsidRPr="00713950">
        <w:rPr>
          <w:i/>
          <w:iCs/>
          <w:lang w:val="en-US"/>
        </w:rPr>
        <w:t>+</w:t>
      </w:r>
      <w:r w:rsidRPr="002A1EA0">
        <w:rPr>
          <w:lang w:val="en-US"/>
        </w:rPr>
        <w:t>” next to “</w:t>
      </w:r>
      <w:r w:rsidRPr="00713950">
        <w:rPr>
          <w:i/>
          <w:iCs/>
          <w:lang w:val="en-US"/>
        </w:rPr>
        <w:t>Projects</w:t>
      </w:r>
      <w:r w:rsidRPr="002A1EA0">
        <w:rPr>
          <w:lang w:val="en-US"/>
        </w:rPr>
        <w:t>” (or use an already existing project). Name the project and choose parameters in “</w:t>
      </w:r>
      <w:r w:rsidRPr="00713950">
        <w:rPr>
          <w:i/>
          <w:iCs/>
          <w:lang w:val="en-US"/>
        </w:rPr>
        <w:t>manage collaborators</w:t>
      </w:r>
      <w:r w:rsidRPr="002A1EA0">
        <w:rPr>
          <w:lang w:val="en-US"/>
        </w:rPr>
        <w:t>” as you will.</w:t>
      </w:r>
      <w:r w:rsidR="00CA696E" w:rsidRPr="002A1EA0">
        <w:rPr>
          <w:lang w:val="en-US"/>
        </w:rPr>
        <w:t xml:space="preserve"> </w:t>
      </w:r>
    </w:p>
    <w:p w14:paraId="7DE5DCB1" w14:textId="77777777" w:rsidR="002A1EA0" w:rsidRDefault="008941A4" w:rsidP="00D335AE">
      <w:pPr>
        <w:pStyle w:val="ListParagraph"/>
        <w:numPr>
          <w:ilvl w:val="2"/>
          <w:numId w:val="15"/>
        </w:numPr>
        <w:jc w:val="both"/>
        <w:rPr>
          <w:lang w:val="en-US"/>
        </w:rPr>
      </w:pPr>
      <w:r w:rsidRPr="002A1EA0">
        <w:rPr>
          <w:lang w:val="en-US"/>
        </w:rPr>
        <w:t>Once you are in the project folder, i</w:t>
      </w:r>
      <w:r w:rsidR="00613AFE" w:rsidRPr="002A1EA0">
        <w:rPr>
          <w:lang w:val="en-US"/>
        </w:rPr>
        <w:t xml:space="preserve">mport the sequence of the </w:t>
      </w:r>
      <w:r w:rsidR="008F4625" w:rsidRPr="002A1EA0">
        <w:rPr>
          <w:lang w:val="en-US"/>
        </w:rPr>
        <w:t>target</w:t>
      </w:r>
      <w:r w:rsidR="001263D7" w:rsidRPr="002A1EA0">
        <w:rPr>
          <w:lang w:val="en-US"/>
        </w:rPr>
        <w:t xml:space="preserve"> </w:t>
      </w:r>
      <w:r w:rsidR="00613AFE" w:rsidRPr="002A1EA0">
        <w:rPr>
          <w:lang w:val="en-US"/>
        </w:rPr>
        <w:t>gene by choosing “</w:t>
      </w:r>
      <w:r w:rsidR="00613AFE" w:rsidRPr="001C6C6F">
        <w:rPr>
          <w:i/>
          <w:iCs/>
          <w:lang w:val="en-US"/>
        </w:rPr>
        <w:t>+</w:t>
      </w:r>
      <w:r w:rsidR="00613AFE" w:rsidRPr="002A1EA0">
        <w:rPr>
          <w:lang w:val="en-US"/>
        </w:rPr>
        <w:t>” on the left panel. Then choose “</w:t>
      </w:r>
      <w:r w:rsidR="00613AFE" w:rsidRPr="00752769">
        <w:rPr>
          <w:i/>
          <w:iCs/>
          <w:lang w:val="en-US"/>
        </w:rPr>
        <w:t>DNA Sequence</w:t>
      </w:r>
      <w:r w:rsidR="00613AFE" w:rsidRPr="002A1EA0">
        <w:rPr>
          <w:lang w:val="en-US"/>
        </w:rPr>
        <w:t xml:space="preserve">” </w:t>
      </w:r>
      <w:r w:rsidR="006338FB" w:rsidRPr="002A1EA0">
        <w:rPr>
          <w:lang w:val="en-US"/>
        </w:rPr>
        <w:t>-</w:t>
      </w:r>
      <w:r w:rsidR="00C0420D" w:rsidRPr="002A1EA0">
        <w:rPr>
          <w:lang w:val="en-US"/>
        </w:rPr>
        <w:t>&gt; “</w:t>
      </w:r>
      <w:r w:rsidR="006338FB" w:rsidRPr="00752769">
        <w:rPr>
          <w:i/>
          <w:iCs/>
          <w:lang w:val="en-US"/>
        </w:rPr>
        <w:t xml:space="preserve">import </w:t>
      </w:r>
      <w:r w:rsidRPr="00752769">
        <w:rPr>
          <w:i/>
          <w:iCs/>
          <w:lang w:val="en-US"/>
        </w:rPr>
        <w:t>D</w:t>
      </w:r>
      <w:r w:rsidR="006338FB" w:rsidRPr="00752769">
        <w:rPr>
          <w:i/>
          <w:iCs/>
          <w:lang w:val="en-US"/>
        </w:rPr>
        <w:t>NA sequence</w:t>
      </w:r>
      <w:r w:rsidR="006338FB" w:rsidRPr="002A1EA0">
        <w:rPr>
          <w:lang w:val="en-US"/>
        </w:rPr>
        <w:t>” -&gt; “</w:t>
      </w:r>
      <w:r w:rsidR="006338FB" w:rsidRPr="00752769">
        <w:rPr>
          <w:i/>
          <w:iCs/>
          <w:lang w:val="en-US"/>
        </w:rPr>
        <w:t>search external databases</w:t>
      </w:r>
      <w:r w:rsidR="006338FB" w:rsidRPr="002A1EA0">
        <w:rPr>
          <w:lang w:val="en-US"/>
        </w:rPr>
        <w:t>”</w:t>
      </w:r>
      <w:r w:rsidR="002A1EA0">
        <w:rPr>
          <w:lang w:val="en-US"/>
        </w:rPr>
        <w:t xml:space="preserve"> </w:t>
      </w:r>
    </w:p>
    <w:p w14:paraId="2664D0BA" w14:textId="36CD5295" w:rsidR="00AF422B" w:rsidRPr="002A1EA0" w:rsidRDefault="00B42F4A" w:rsidP="00A55970">
      <w:pPr>
        <w:pStyle w:val="ListParagraph"/>
        <w:jc w:val="both"/>
        <w:rPr>
          <w:lang w:val="en-US"/>
        </w:rPr>
      </w:pPr>
      <w:r w:rsidRPr="002A1EA0">
        <w:rPr>
          <w:lang w:val="en-US"/>
        </w:rPr>
        <w:t xml:space="preserve">In the search bar, enter the </w:t>
      </w:r>
      <w:proofErr w:type="spellStart"/>
      <w:r w:rsidRPr="002A1EA0">
        <w:rPr>
          <w:lang w:val="en-US"/>
        </w:rPr>
        <w:t>E</w:t>
      </w:r>
      <w:r w:rsidR="0024248F" w:rsidRPr="002A1EA0">
        <w:rPr>
          <w:lang w:val="en-US"/>
        </w:rPr>
        <w:t>n</w:t>
      </w:r>
      <w:r w:rsidRPr="002A1EA0">
        <w:rPr>
          <w:lang w:val="en-US"/>
        </w:rPr>
        <w:t>sembl</w:t>
      </w:r>
      <w:proofErr w:type="spellEnd"/>
      <w:r w:rsidRPr="002A1EA0">
        <w:rPr>
          <w:lang w:val="en-US"/>
        </w:rPr>
        <w:t xml:space="preserve"> code (ex: ENSG00000090857)</w:t>
      </w:r>
      <w:r w:rsidR="00417DB7" w:rsidRPr="002A1EA0">
        <w:rPr>
          <w:lang w:val="en-US"/>
        </w:rPr>
        <w:t xml:space="preserve">. </w:t>
      </w:r>
      <w:r w:rsidR="00D92573" w:rsidRPr="002A1EA0">
        <w:rPr>
          <w:lang w:val="en-US"/>
        </w:rPr>
        <w:t xml:space="preserve">Select the genome database </w:t>
      </w:r>
      <w:r w:rsidR="00072B06" w:rsidRPr="002A1EA0">
        <w:rPr>
          <w:lang w:val="en-US"/>
        </w:rPr>
        <w:t>of your choice</w:t>
      </w:r>
      <w:r w:rsidR="00D92573" w:rsidRPr="002A1EA0">
        <w:rPr>
          <w:lang w:val="en-US"/>
        </w:rPr>
        <w:t xml:space="preserve">. </w:t>
      </w:r>
      <w:r w:rsidR="00D92573" w:rsidRPr="0090758B">
        <w:rPr>
          <w:lang w:val="en-US"/>
        </w:rPr>
        <w:t>Note</w:t>
      </w:r>
      <w:r w:rsidR="00D92573" w:rsidRPr="002A1EA0">
        <w:rPr>
          <w:lang w:val="en-US"/>
        </w:rPr>
        <w:t>: for</w:t>
      </w:r>
      <w:r w:rsidR="00417DB7" w:rsidRPr="002A1EA0">
        <w:rPr>
          <w:lang w:val="en-US"/>
        </w:rPr>
        <w:t xml:space="preserve"> human gene</w:t>
      </w:r>
      <w:r w:rsidR="0099023F" w:rsidRPr="002A1EA0">
        <w:rPr>
          <w:lang w:val="en-US"/>
        </w:rPr>
        <w:t>s</w:t>
      </w:r>
      <w:r w:rsidR="00417DB7" w:rsidRPr="002A1EA0">
        <w:rPr>
          <w:lang w:val="en-US"/>
        </w:rPr>
        <w:t xml:space="preserve">, the </w:t>
      </w:r>
      <w:r w:rsidR="00417DB7" w:rsidRPr="001C6C6F">
        <w:rPr>
          <w:i/>
          <w:iCs/>
          <w:lang w:val="en-US"/>
        </w:rPr>
        <w:t>CRCh38(hg38, Homo Sapiens)</w:t>
      </w:r>
      <w:r w:rsidR="00417DB7" w:rsidRPr="002A1EA0">
        <w:rPr>
          <w:lang w:val="en-US"/>
        </w:rPr>
        <w:t xml:space="preserve"> genome</w:t>
      </w:r>
      <w:r w:rsidR="00D92573" w:rsidRPr="002A1EA0">
        <w:rPr>
          <w:lang w:val="en-US"/>
        </w:rPr>
        <w:t xml:space="preserve"> database works well. </w:t>
      </w:r>
      <w:r w:rsidR="00417DB7" w:rsidRPr="002A1EA0">
        <w:rPr>
          <w:lang w:val="en-US"/>
        </w:rPr>
        <w:t xml:space="preserve">In the transcript section, select the </w:t>
      </w:r>
      <w:r w:rsidR="00077BC8" w:rsidRPr="002A1EA0">
        <w:rPr>
          <w:lang w:val="en-US"/>
        </w:rPr>
        <w:t>chosen</w:t>
      </w:r>
      <w:r w:rsidR="00417DB7" w:rsidRPr="002A1EA0">
        <w:rPr>
          <w:lang w:val="en-US"/>
        </w:rPr>
        <w:t xml:space="preserve"> transcript</w:t>
      </w:r>
      <w:r w:rsidR="00C43D77" w:rsidRPr="002A1EA0">
        <w:rPr>
          <w:lang w:val="en-US"/>
        </w:rPr>
        <w:t xml:space="preserve"> from the information noted in step 2</w:t>
      </w:r>
      <w:r w:rsidR="00417DB7" w:rsidRPr="002A1EA0">
        <w:rPr>
          <w:lang w:val="en-US"/>
        </w:rPr>
        <w:t xml:space="preserve"> (ex: PDPR-001 (ENST00000288050, CCDS45520)</w:t>
      </w:r>
      <w:r w:rsidR="002A66BE" w:rsidRPr="002A1EA0">
        <w:rPr>
          <w:lang w:val="en-US"/>
        </w:rPr>
        <w:t>. Import the sequence in your folder.</w:t>
      </w:r>
    </w:p>
    <w:p w14:paraId="269A3C1B" w14:textId="1E6B2642" w:rsidR="00FF2723" w:rsidRPr="00A967E4" w:rsidRDefault="003B52CE" w:rsidP="00965EB2">
      <w:pPr>
        <w:ind w:left="720"/>
        <w:jc w:val="both"/>
        <w:rPr>
          <w:lang w:val="en-US"/>
        </w:rPr>
      </w:pPr>
      <w:r w:rsidRPr="00D335AE">
        <w:rPr>
          <w:lang w:val="en-US"/>
        </w:rPr>
        <w:t>If you already have the DNA sequence</w:t>
      </w:r>
      <w:r w:rsidR="0021773C" w:rsidRPr="00D335AE">
        <w:rPr>
          <w:lang w:val="en-US"/>
        </w:rPr>
        <w:t xml:space="preserve"> in your computer</w:t>
      </w:r>
      <w:r w:rsidRPr="00D335AE">
        <w:rPr>
          <w:lang w:val="en-US"/>
        </w:rPr>
        <w:t>, you can also</w:t>
      </w:r>
      <w:r w:rsidR="00613AFE" w:rsidRPr="00D335AE">
        <w:rPr>
          <w:lang w:val="en-US"/>
        </w:rPr>
        <w:t xml:space="preserve"> </w:t>
      </w:r>
      <w:r w:rsidRPr="00D335AE">
        <w:rPr>
          <w:lang w:val="en-US"/>
        </w:rPr>
        <w:t>just click on “</w:t>
      </w:r>
      <w:r w:rsidRPr="002B138F">
        <w:rPr>
          <w:i/>
          <w:iCs/>
          <w:lang w:val="en-US"/>
        </w:rPr>
        <w:t>new DNA sequence</w:t>
      </w:r>
      <w:r w:rsidRPr="00D335AE">
        <w:rPr>
          <w:lang w:val="en-US"/>
        </w:rPr>
        <w:t>”</w:t>
      </w:r>
      <w:r w:rsidR="00613AFE" w:rsidRPr="00D335AE">
        <w:rPr>
          <w:lang w:val="en-US"/>
        </w:rPr>
        <w:t xml:space="preserve"> </w:t>
      </w:r>
      <w:r w:rsidRPr="00D335AE">
        <w:rPr>
          <w:lang w:val="en-US"/>
        </w:rPr>
        <w:t>and copy-paste or import</w:t>
      </w:r>
      <w:r w:rsidR="00EA6404" w:rsidRPr="00D335AE">
        <w:rPr>
          <w:lang w:val="en-US"/>
        </w:rPr>
        <w:t xml:space="preserve"> a sequence file</w:t>
      </w:r>
      <w:r w:rsidRPr="00D335AE">
        <w:rPr>
          <w:lang w:val="en-US"/>
        </w:rPr>
        <w:t xml:space="preserve"> from your computer</w:t>
      </w:r>
      <w:r w:rsidR="00613AFE" w:rsidRPr="00D335AE">
        <w:rPr>
          <w:lang w:val="en-US"/>
        </w:rPr>
        <w:t xml:space="preserve">. </w:t>
      </w:r>
    </w:p>
    <w:p w14:paraId="0FD9A0D9" w14:textId="4598BB63" w:rsidR="00FF2723" w:rsidRPr="00A967E4" w:rsidRDefault="00FF2723" w:rsidP="00DA3EB5">
      <w:pPr>
        <w:pStyle w:val="ListParagraph"/>
        <w:numPr>
          <w:ilvl w:val="1"/>
          <w:numId w:val="9"/>
        </w:numPr>
        <w:jc w:val="both"/>
        <w:rPr>
          <w:b/>
          <w:bCs/>
          <w:lang w:val="en-US"/>
        </w:rPr>
      </w:pPr>
      <w:r w:rsidRPr="00A967E4">
        <w:rPr>
          <w:b/>
          <w:bCs/>
          <w:lang w:val="en-US"/>
        </w:rPr>
        <w:t xml:space="preserve">Designing </w:t>
      </w:r>
      <w:r w:rsidR="00022597" w:rsidRPr="00A967E4">
        <w:rPr>
          <w:b/>
          <w:bCs/>
          <w:lang w:val="en-US"/>
        </w:rPr>
        <w:t xml:space="preserve">a </w:t>
      </w:r>
      <w:r w:rsidRPr="00A967E4">
        <w:rPr>
          <w:b/>
          <w:bCs/>
          <w:lang w:val="en-US"/>
        </w:rPr>
        <w:t>gRNA</w:t>
      </w:r>
      <w:r w:rsidR="0002043A">
        <w:rPr>
          <w:b/>
          <w:bCs/>
          <w:lang w:val="en-US"/>
        </w:rPr>
        <w:t xml:space="preserve"> in </w:t>
      </w:r>
      <w:proofErr w:type="spellStart"/>
      <w:r w:rsidR="0002043A">
        <w:rPr>
          <w:b/>
          <w:bCs/>
          <w:lang w:val="en-US"/>
        </w:rPr>
        <w:t>Benchling</w:t>
      </w:r>
      <w:proofErr w:type="spellEnd"/>
    </w:p>
    <w:p w14:paraId="622C403D" w14:textId="77777777" w:rsidR="00FF2723" w:rsidRPr="00A967E4" w:rsidRDefault="00FF2723" w:rsidP="00614A24">
      <w:pPr>
        <w:pStyle w:val="ListParagraph"/>
        <w:jc w:val="both"/>
        <w:rPr>
          <w:lang w:val="en-US"/>
        </w:rPr>
      </w:pPr>
    </w:p>
    <w:p w14:paraId="56BF2437" w14:textId="50F2C95A" w:rsidR="00CA696E" w:rsidRPr="002A1EA0" w:rsidRDefault="00B74905" w:rsidP="002A1EA0">
      <w:pPr>
        <w:pStyle w:val="ListParagraph"/>
        <w:numPr>
          <w:ilvl w:val="2"/>
          <w:numId w:val="14"/>
        </w:numPr>
        <w:jc w:val="both"/>
        <w:rPr>
          <w:lang w:val="en-US"/>
        </w:rPr>
      </w:pPr>
      <w:r>
        <w:rPr>
          <w:lang w:val="en-US"/>
        </w:rPr>
        <w:t>Open</w:t>
      </w:r>
      <w:r w:rsidR="008B43F6">
        <w:rPr>
          <w:lang w:val="en-US"/>
        </w:rPr>
        <w:t xml:space="preserve"> the</w:t>
      </w:r>
      <w:r>
        <w:rPr>
          <w:lang w:val="en-US"/>
        </w:rPr>
        <w:t xml:space="preserve"> </w:t>
      </w:r>
      <w:r w:rsidR="00C25528">
        <w:rPr>
          <w:lang w:val="en-US"/>
        </w:rPr>
        <w:t>“</w:t>
      </w:r>
      <w:r w:rsidR="002E6553" w:rsidRPr="00C25528">
        <w:rPr>
          <w:i/>
          <w:iCs/>
          <w:lang w:val="en-US"/>
        </w:rPr>
        <w:t>split workspace</w:t>
      </w:r>
      <w:r w:rsidR="00C25528">
        <w:rPr>
          <w:lang w:val="en-US"/>
        </w:rPr>
        <w:t xml:space="preserve">” </w:t>
      </w:r>
      <w:r w:rsidR="008B43F6">
        <w:rPr>
          <w:lang w:val="en-US"/>
        </w:rPr>
        <w:t xml:space="preserve">tab </w:t>
      </w:r>
      <w:r>
        <w:rPr>
          <w:lang w:val="en-US"/>
        </w:rPr>
        <w:t>(</w:t>
      </w:r>
      <w:r w:rsidR="008B43F6">
        <w:rPr>
          <w:lang w:val="en-US"/>
        </w:rPr>
        <w:t>located</w:t>
      </w:r>
      <w:r>
        <w:rPr>
          <w:lang w:val="en-US"/>
        </w:rPr>
        <w:t xml:space="preserve"> on the </w:t>
      </w:r>
      <w:r w:rsidR="00471819" w:rsidRPr="002A1EA0">
        <w:rPr>
          <w:lang w:val="en-US"/>
        </w:rPr>
        <w:t>right</w:t>
      </w:r>
      <w:r w:rsidR="00A0488A" w:rsidRPr="002A1EA0">
        <w:rPr>
          <w:lang w:val="en-US"/>
        </w:rPr>
        <w:t xml:space="preserve"> down corner</w:t>
      </w:r>
      <w:r w:rsidR="00A47061">
        <w:rPr>
          <w:lang w:val="en-US"/>
        </w:rPr>
        <w:t>)</w:t>
      </w:r>
      <w:r w:rsidR="00A0488A" w:rsidRPr="002A1EA0">
        <w:rPr>
          <w:lang w:val="en-US"/>
        </w:rPr>
        <w:t>.</w:t>
      </w:r>
    </w:p>
    <w:p w14:paraId="4EE41DA0" w14:textId="48F4427C" w:rsidR="00CA696E" w:rsidRPr="002A1EA0" w:rsidRDefault="007A527E" w:rsidP="002A1EA0">
      <w:pPr>
        <w:pStyle w:val="ListParagraph"/>
        <w:numPr>
          <w:ilvl w:val="2"/>
          <w:numId w:val="14"/>
        </w:numPr>
        <w:jc w:val="both"/>
        <w:rPr>
          <w:lang w:val="en-US"/>
        </w:rPr>
      </w:pPr>
      <w:r>
        <w:rPr>
          <w:noProof/>
          <w:lang w:val="en-US"/>
        </w:rPr>
        <w:t>Go</w:t>
      </w:r>
      <w:r w:rsidR="00FC52CE">
        <w:rPr>
          <w:noProof/>
          <w:lang w:val="en-US"/>
        </w:rPr>
        <w:t xml:space="preserve"> </w:t>
      </w:r>
      <w:r>
        <w:rPr>
          <w:noProof/>
          <w:lang w:val="en-US"/>
        </w:rPr>
        <w:t>to</w:t>
      </w:r>
      <w:r w:rsidR="00A0488A" w:rsidRPr="002A1EA0">
        <w:rPr>
          <w:lang w:val="en-US"/>
        </w:rPr>
        <w:t xml:space="preserve"> the exon of interest </w:t>
      </w:r>
      <w:r>
        <w:rPr>
          <w:lang w:val="en-US"/>
        </w:rPr>
        <w:t xml:space="preserve">and </w:t>
      </w:r>
      <w:r w:rsidR="00162478">
        <w:rPr>
          <w:lang w:val="en-US"/>
        </w:rPr>
        <w:t>make sure it is selected</w:t>
      </w:r>
      <w:r w:rsidR="00772E9E">
        <w:rPr>
          <w:lang w:val="en-US"/>
        </w:rPr>
        <w:t>/highlighted</w:t>
      </w:r>
      <w:r w:rsidR="00162478">
        <w:rPr>
          <w:lang w:val="en-US"/>
        </w:rPr>
        <w:t>.</w:t>
      </w:r>
      <w:r w:rsidR="00A0488A" w:rsidRPr="002A1EA0">
        <w:rPr>
          <w:lang w:val="en-US"/>
        </w:rPr>
        <w:t xml:space="preserve"> </w:t>
      </w:r>
    </w:p>
    <w:p w14:paraId="0F5D7BA8" w14:textId="77777777" w:rsidR="00856F70" w:rsidRDefault="00170BA2" w:rsidP="002A1EA0">
      <w:pPr>
        <w:pStyle w:val="ListParagraph"/>
        <w:numPr>
          <w:ilvl w:val="2"/>
          <w:numId w:val="14"/>
        </w:numPr>
        <w:jc w:val="both"/>
        <w:rPr>
          <w:lang w:val="en-US"/>
        </w:rPr>
      </w:pPr>
      <w:r w:rsidRPr="00A967E4">
        <w:rPr>
          <w:noProof/>
          <w:lang w:val="en-US"/>
        </w:rPr>
        <w:drawing>
          <wp:anchor distT="0" distB="0" distL="114300" distR="114300" simplePos="0" relativeHeight="251658240" behindDoc="0" locked="0" layoutInCell="1" allowOverlap="1" wp14:anchorId="4569A159" wp14:editId="49218321">
            <wp:simplePos x="0" y="0"/>
            <wp:positionH relativeFrom="column">
              <wp:posOffset>3644646</wp:posOffset>
            </wp:positionH>
            <wp:positionV relativeFrom="paragraph">
              <wp:posOffset>25400</wp:posOffset>
            </wp:positionV>
            <wp:extent cx="147320" cy="14224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a:extLst>
                        <a:ext uri="{28A0092B-C50C-407E-A947-70E740481C1C}">
                          <a14:useLocalDpi xmlns:a14="http://schemas.microsoft.com/office/drawing/2010/main" val="0"/>
                        </a:ext>
                      </a:extLst>
                    </a:blip>
                    <a:srcRect l="8084" t="11469" r="13802" b="8243"/>
                    <a:stretch/>
                  </pic:blipFill>
                  <pic:spPr bwMode="auto">
                    <a:xfrm>
                      <a:off x="0" y="0"/>
                      <a:ext cx="147320" cy="142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442C">
        <w:rPr>
          <w:noProof/>
          <w:lang w:val="en-US"/>
        </w:rPr>
        <w:t>Click on</w:t>
      </w:r>
      <w:r w:rsidR="00A0488A" w:rsidRPr="002A1EA0">
        <w:rPr>
          <w:lang w:val="en-US"/>
        </w:rPr>
        <w:t xml:space="preserve"> the CRISPR tool </w:t>
      </w:r>
      <w:r w:rsidR="0032267D">
        <w:rPr>
          <w:lang w:val="en-US"/>
        </w:rPr>
        <w:t xml:space="preserve">(located on </w:t>
      </w:r>
      <w:r w:rsidR="00A0488A" w:rsidRPr="002A1EA0">
        <w:rPr>
          <w:lang w:val="en-US"/>
        </w:rPr>
        <w:t xml:space="preserve">the </w:t>
      </w:r>
      <w:r w:rsidR="00471819" w:rsidRPr="002A1EA0">
        <w:rPr>
          <w:lang w:val="en-US"/>
        </w:rPr>
        <w:t>right</w:t>
      </w:r>
      <w:r w:rsidR="0032267D">
        <w:rPr>
          <w:lang w:val="en-US"/>
        </w:rPr>
        <w:t>: t</w:t>
      </w:r>
      <w:r w:rsidR="00BC5856" w:rsidRPr="002A1EA0">
        <w:rPr>
          <w:lang w:val="en-US"/>
        </w:rPr>
        <w:t>his icon</w:t>
      </w:r>
      <w:proofErr w:type="gramStart"/>
      <w:r w:rsidR="00BC5856" w:rsidRPr="002A1EA0">
        <w:rPr>
          <w:lang w:val="en-US"/>
        </w:rPr>
        <w:t xml:space="preserve">: </w:t>
      </w:r>
      <w:r w:rsidR="00323952" w:rsidRPr="002A1EA0">
        <w:rPr>
          <w:lang w:val="en-US"/>
        </w:rPr>
        <w:t>)</w:t>
      </w:r>
      <w:proofErr w:type="gramEnd"/>
      <w:r w:rsidR="00323952" w:rsidRPr="002A1EA0">
        <w:rPr>
          <w:lang w:val="en-US"/>
        </w:rPr>
        <w:t xml:space="preserve"> </w:t>
      </w:r>
      <w:r w:rsidR="007A3CF7" w:rsidRPr="002A1EA0">
        <w:rPr>
          <w:lang w:val="en-US"/>
        </w:rPr>
        <w:t>and click “</w:t>
      </w:r>
      <w:r w:rsidR="007A3CF7" w:rsidRPr="00CB19FC">
        <w:rPr>
          <w:i/>
          <w:iCs/>
          <w:lang w:val="en-US"/>
        </w:rPr>
        <w:t>DESIGN AND ANALYZE GUIDES</w:t>
      </w:r>
      <w:r w:rsidR="007A3CF7" w:rsidRPr="002A1EA0">
        <w:rPr>
          <w:lang w:val="en-US"/>
        </w:rPr>
        <w:t>”</w:t>
      </w:r>
      <w:r w:rsidR="00A0488A" w:rsidRPr="002A1EA0">
        <w:rPr>
          <w:lang w:val="en-US"/>
        </w:rPr>
        <w:t>.</w:t>
      </w:r>
      <w:r w:rsidR="007A3CF7" w:rsidRPr="002A1EA0">
        <w:rPr>
          <w:lang w:val="en-US"/>
        </w:rPr>
        <w:t xml:space="preserve"> </w:t>
      </w:r>
    </w:p>
    <w:p w14:paraId="22FAB076" w14:textId="0FCBFF6A" w:rsidR="00CA696E" w:rsidRPr="002A1EA0" w:rsidRDefault="004C0B47" w:rsidP="00856F70">
      <w:pPr>
        <w:pStyle w:val="ListParagraph"/>
        <w:jc w:val="both"/>
        <w:rPr>
          <w:lang w:val="en-US"/>
        </w:rPr>
      </w:pPr>
      <w:r>
        <w:rPr>
          <w:lang w:val="en-US"/>
        </w:rPr>
        <w:t>Select</w:t>
      </w:r>
      <w:r w:rsidR="007A3CF7" w:rsidRPr="002A1EA0">
        <w:rPr>
          <w:lang w:val="en-US"/>
        </w:rPr>
        <w:t xml:space="preserve"> the</w:t>
      </w:r>
      <w:r>
        <w:rPr>
          <w:lang w:val="en-US"/>
        </w:rPr>
        <w:t xml:space="preserve"> following</w:t>
      </w:r>
      <w:r w:rsidR="007A3CF7" w:rsidRPr="002A1EA0">
        <w:rPr>
          <w:lang w:val="en-US"/>
        </w:rPr>
        <w:t xml:space="preserve"> </w:t>
      </w:r>
      <w:r w:rsidR="00471819" w:rsidRPr="002A1EA0">
        <w:rPr>
          <w:lang w:val="en-US"/>
        </w:rPr>
        <w:t xml:space="preserve">guide </w:t>
      </w:r>
      <w:r w:rsidR="007A3CF7" w:rsidRPr="002A1EA0">
        <w:rPr>
          <w:lang w:val="en-US"/>
        </w:rPr>
        <w:t>parameters</w:t>
      </w:r>
      <w:r w:rsidR="00B30844">
        <w:rPr>
          <w:lang w:val="en-US"/>
        </w:rPr>
        <w:t xml:space="preserve">: </w:t>
      </w:r>
      <w:r w:rsidR="00EE06DC">
        <w:rPr>
          <w:lang w:val="en-US"/>
        </w:rPr>
        <w:t xml:space="preserve">Design type: </w:t>
      </w:r>
      <w:r w:rsidR="00EE06DC" w:rsidRPr="00EE06DC">
        <w:rPr>
          <w:b/>
          <w:bCs/>
          <w:lang w:val="en-US"/>
        </w:rPr>
        <w:t>single guide</w:t>
      </w:r>
      <w:r w:rsidR="00EE06DC">
        <w:rPr>
          <w:lang w:val="en-US"/>
        </w:rPr>
        <w:t xml:space="preserve">, </w:t>
      </w:r>
      <w:r w:rsidR="00B30844">
        <w:rPr>
          <w:lang w:val="en-US"/>
        </w:rPr>
        <w:t>l</w:t>
      </w:r>
      <w:r w:rsidR="007D2F2D" w:rsidRPr="002A1EA0">
        <w:rPr>
          <w:lang w:val="en-US"/>
        </w:rPr>
        <w:t>ength</w:t>
      </w:r>
      <w:r w:rsidR="00B30844">
        <w:rPr>
          <w:lang w:val="en-US"/>
        </w:rPr>
        <w:t>:</w:t>
      </w:r>
      <w:r w:rsidR="007D2F2D" w:rsidRPr="002A1EA0">
        <w:rPr>
          <w:lang w:val="en-US"/>
        </w:rPr>
        <w:t xml:space="preserve"> </w:t>
      </w:r>
      <w:r w:rsidR="007D2F2D" w:rsidRPr="004C0B47">
        <w:rPr>
          <w:b/>
          <w:bCs/>
          <w:lang w:val="en-US"/>
        </w:rPr>
        <w:t>20</w:t>
      </w:r>
      <w:r w:rsidR="007D2F2D" w:rsidRPr="002A1EA0">
        <w:rPr>
          <w:lang w:val="en-US"/>
        </w:rPr>
        <w:t>, genome:</w:t>
      </w:r>
      <w:r w:rsidR="00B30844">
        <w:rPr>
          <w:lang w:val="en-US"/>
        </w:rPr>
        <w:t xml:space="preserve"> the same used for importing the DNA sequence, </w:t>
      </w:r>
      <w:r w:rsidR="00383D24" w:rsidRPr="002A1EA0">
        <w:rPr>
          <w:lang w:val="en-US"/>
        </w:rPr>
        <w:t>PAM:</w:t>
      </w:r>
      <w:r w:rsidR="00BF197E" w:rsidRPr="002A1EA0">
        <w:rPr>
          <w:lang w:val="en-US"/>
        </w:rPr>
        <w:t xml:space="preserve"> </w:t>
      </w:r>
      <w:r w:rsidR="00BF197E" w:rsidRPr="008B35CA">
        <w:rPr>
          <w:b/>
          <w:bCs/>
          <w:lang w:val="en-US"/>
        </w:rPr>
        <w:t>NGG (SpCas9, 3’ side</w:t>
      </w:r>
      <w:r w:rsidR="000644DB">
        <w:rPr>
          <w:i/>
          <w:iCs/>
          <w:lang w:val="en-US"/>
        </w:rPr>
        <w:t>)</w:t>
      </w:r>
      <w:r w:rsidR="00B30844">
        <w:rPr>
          <w:lang w:val="en-US"/>
        </w:rPr>
        <w:t>.</w:t>
      </w:r>
      <w:r w:rsidR="007A3CF7" w:rsidRPr="002A1EA0">
        <w:rPr>
          <w:lang w:val="en-US"/>
        </w:rPr>
        <w:t xml:space="preserve"> </w:t>
      </w:r>
      <w:r w:rsidR="00B30844">
        <w:rPr>
          <w:lang w:val="en-US"/>
        </w:rPr>
        <w:t>C</w:t>
      </w:r>
      <w:r w:rsidR="007A3CF7" w:rsidRPr="002A1EA0">
        <w:rPr>
          <w:lang w:val="en-US"/>
        </w:rPr>
        <w:t>lick “</w:t>
      </w:r>
      <w:r w:rsidR="007A3CF7" w:rsidRPr="0039236B">
        <w:rPr>
          <w:i/>
          <w:iCs/>
          <w:lang w:val="en-US"/>
        </w:rPr>
        <w:t>Finish</w:t>
      </w:r>
      <w:r w:rsidR="00135D2D">
        <w:rPr>
          <w:lang w:val="en-US"/>
        </w:rPr>
        <w:t>”</w:t>
      </w:r>
      <w:r w:rsidR="007A3CF7" w:rsidRPr="002A1EA0">
        <w:rPr>
          <w:lang w:val="en-US"/>
        </w:rPr>
        <w:t>.</w:t>
      </w:r>
      <w:r w:rsidR="00CC0806" w:rsidRPr="002A1EA0">
        <w:rPr>
          <w:lang w:val="en-US"/>
        </w:rPr>
        <w:t xml:space="preserve"> Check that the target </w:t>
      </w:r>
      <w:r w:rsidR="0040632D">
        <w:rPr>
          <w:lang w:val="en-US"/>
        </w:rPr>
        <w:t>region corresponds to the targeted exon and</w:t>
      </w:r>
      <w:r w:rsidR="00CC0806" w:rsidRPr="002A1EA0">
        <w:rPr>
          <w:lang w:val="en-US"/>
        </w:rPr>
        <w:t xml:space="preserve"> click “</w:t>
      </w:r>
      <w:r w:rsidR="00CC0806" w:rsidRPr="0039236B">
        <w:rPr>
          <w:i/>
          <w:iCs/>
          <w:lang w:val="en-US"/>
        </w:rPr>
        <w:t>+</w:t>
      </w:r>
      <w:r w:rsidR="00CC0806" w:rsidRPr="002A1EA0">
        <w:rPr>
          <w:lang w:val="en-US"/>
        </w:rPr>
        <w:t>”</w:t>
      </w:r>
      <w:r w:rsidR="00471819" w:rsidRPr="002A1EA0">
        <w:rPr>
          <w:lang w:val="en-US"/>
        </w:rPr>
        <w:t xml:space="preserve"> (create)</w:t>
      </w:r>
      <w:r w:rsidR="00DB00E4">
        <w:rPr>
          <w:lang w:val="en-US"/>
        </w:rPr>
        <w:t>.</w:t>
      </w:r>
    </w:p>
    <w:p w14:paraId="1123954B" w14:textId="6F1A0CEF" w:rsidR="00CA696E" w:rsidRPr="002A1EA0" w:rsidRDefault="005A57A4" w:rsidP="002A1EA0">
      <w:pPr>
        <w:pStyle w:val="ListParagraph"/>
        <w:numPr>
          <w:ilvl w:val="2"/>
          <w:numId w:val="14"/>
        </w:numPr>
        <w:jc w:val="both"/>
        <w:rPr>
          <w:lang w:val="en-US"/>
        </w:rPr>
      </w:pPr>
      <w:r>
        <w:rPr>
          <w:lang w:val="en-US"/>
        </w:rPr>
        <w:lastRenderedPageBreak/>
        <w:t>The</w:t>
      </w:r>
      <w:r w:rsidR="00D25ECA" w:rsidRPr="002A1EA0">
        <w:rPr>
          <w:lang w:val="en-US"/>
        </w:rPr>
        <w:t xml:space="preserve"> program </w:t>
      </w:r>
      <w:r>
        <w:rPr>
          <w:lang w:val="en-US"/>
        </w:rPr>
        <w:t>generates a list of proposed guides.</w:t>
      </w:r>
      <w:r w:rsidR="00D25ECA" w:rsidRPr="002A1EA0">
        <w:rPr>
          <w:lang w:val="en-US"/>
        </w:rPr>
        <w:t xml:space="preserve"> </w:t>
      </w:r>
      <w:r>
        <w:rPr>
          <w:lang w:val="en-US"/>
        </w:rPr>
        <w:t xml:space="preserve">You can sort them by </w:t>
      </w:r>
      <w:r w:rsidR="00D25ECA" w:rsidRPr="002A1EA0">
        <w:rPr>
          <w:lang w:val="en-US"/>
        </w:rPr>
        <w:t xml:space="preserve">On-Target </w:t>
      </w:r>
      <w:r>
        <w:rPr>
          <w:lang w:val="en-US"/>
        </w:rPr>
        <w:t xml:space="preserve">or </w:t>
      </w:r>
      <w:r w:rsidR="00D25ECA" w:rsidRPr="002A1EA0">
        <w:rPr>
          <w:lang w:val="en-US"/>
        </w:rPr>
        <w:t>Off-Target Score</w:t>
      </w:r>
      <w:r>
        <w:rPr>
          <w:lang w:val="en-US"/>
        </w:rPr>
        <w:t>s</w:t>
      </w:r>
      <w:r w:rsidR="00D25ECA" w:rsidRPr="002A1EA0">
        <w:rPr>
          <w:lang w:val="en-US"/>
        </w:rPr>
        <w:t xml:space="preserve">. </w:t>
      </w:r>
      <w:r>
        <w:rPr>
          <w:lang w:val="en-US"/>
        </w:rPr>
        <w:t>Select</w:t>
      </w:r>
      <w:r w:rsidR="007448AE" w:rsidRPr="002A1EA0">
        <w:rPr>
          <w:lang w:val="en-US"/>
        </w:rPr>
        <w:t xml:space="preserve"> the </w:t>
      </w:r>
      <w:r>
        <w:rPr>
          <w:lang w:val="en-US"/>
        </w:rPr>
        <w:t xml:space="preserve">guide </w:t>
      </w:r>
      <w:r w:rsidR="007448AE" w:rsidRPr="002A1EA0">
        <w:rPr>
          <w:lang w:val="en-US"/>
        </w:rPr>
        <w:t xml:space="preserve">which has the highest </w:t>
      </w:r>
      <w:r w:rsidR="00BC0D0F" w:rsidRPr="002A1EA0">
        <w:rPr>
          <w:lang w:val="en-US"/>
        </w:rPr>
        <w:t xml:space="preserve">combination of On-Target and Off-Target </w:t>
      </w:r>
      <w:r w:rsidR="007448AE" w:rsidRPr="002A1EA0">
        <w:rPr>
          <w:lang w:val="en-US"/>
        </w:rPr>
        <w:t>scores</w:t>
      </w:r>
      <w:r w:rsidR="00F358BC" w:rsidRPr="002A1EA0">
        <w:rPr>
          <w:lang w:val="en-US"/>
        </w:rPr>
        <w:t xml:space="preserve"> and save </w:t>
      </w:r>
      <w:r w:rsidR="00EE5274" w:rsidRPr="002A1EA0">
        <w:rPr>
          <w:lang w:val="en-US"/>
        </w:rPr>
        <w:t xml:space="preserve">it </w:t>
      </w:r>
      <w:r w:rsidR="00F358BC" w:rsidRPr="002A1EA0">
        <w:rPr>
          <w:lang w:val="en-US"/>
        </w:rPr>
        <w:t xml:space="preserve">to the folder of </w:t>
      </w:r>
      <w:r>
        <w:rPr>
          <w:lang w:val="en-US"/>
        </w:rPr>
        <w:t>the project.</w:t>
      </w:r>
    </w:p>
    <w:p w14:paraId="39D10C7B" w14:textId="57C44938" w:rsidR="00613AFE" w:rsidRDefault="002A6089" w:rsidP="002A1EA0">
      <w:pPr>
        <w:pStyle w:val="ListParagraph"/>
        <w:numPr>
          <w:ilvl w:val="2"/>
          <w:numId w:val="14"/>
        </w:numPr>
        <w:jc w:val="both"/>
        <w:rPr>
          <w:lang w:val="en-US"/>
        </w:rPr>
      </w:pPr>
      <w:r>
        <w:rPr>
          <w:lang w:val="en-US"/>
        </w:rPr>
        <w:t>A new DNA file corresponding to the gRNA will automatically be created in your project folder. The gRNA will also appear on the map of your original DNA file, showing where it is targeting.</w:t>
      </w:r>
    </w:p>
    <w:p w14:paraId="2039C848" w14:textId="77777777" w:rsidR="00B159FE" w:rsidRPr="002A1EA0" w:rsidRDefault="00B159FE" w:rsidP="00B159FE">
      <w:pPr>
        <w:pStyle w:val="ListParagraph"/>
        <w:jc w:val="both"/>
        <w:rPr>
          <w:lang w:val="en-US"/>
        </w:rPr>
      </w:pPr>
    </w:p>
    <w:p w14:paraId="268829F9" w14:textId="75603FA1" w:rsidR="005232D5" w:rsidRPr="00CD5701" w:rsidRDefault="00CD5701" w:rsidP="00CD5701">
      <w:pPr>
        <w:jc w:val="both"/>
        <w:rPr>
          <w:b/>
          <w:bCs/>
          <w:lang w:val="en-US"/>
        </w:rPr>
      </w:pPr>
      <w:r>
        <w:rPr>
          <w:b/>
          <w:bCs/>
          <w:lang w:val="en-US"/>
        </w:rPr>
        <w:t xml:space="preserve">4. </w:t>
      </w:r>
      <w:r w:rsidR="008629D5">
        <w:rPr>
          <w:b/>
          <w:bCs/>
          <w:lang w:val="en-US"/>
        </w:rPr>
        <w:t>Create complementary oligo and add overhangs</w:t>
      </w:r>
    </w:p>
    <w:p w14:paraId="4FE0FABA" w14:textId="77777777" w:rsidR="008629D5" w:rsidRDefault="00CA7915" w:rsidP="00614A24">
      <w:pPr>
        <w:jc w:val="both"/>
        <w:rPr>
          <w:lang w:val="en-US"/>
        </w:rPr>
      </w:pPr>
      <w:r>
        <w:rPr>
          <w:lang w:val="en-US"/>
        </w:rPr>
        <w:t>Th</w:t>
      </w:r>
      <w:r w:rsidR="008629D5">
        <w:rPr>
          <w:lang w:val="en-US"/>
        </w:rPr>
        <w:t>e</w:t>
      </w:r>
      <w:r>
        <w:rPr>
          <w:lang w:val="en-US"/>
        </w:rPr>
        <w:t xml:space="preserve"> gRNA </w:t>
      </w:r>
      <w:r w:rsidR="008629D5">
        <w:rPr>
          <w:lang w:val="en-US"/>
        </w:rPr>
        <w:t xml:space="preserve">that was just created </w:t>
      </w:r>
      <w:r>
        <w:rPr>
          <w:lang w:val="en-US"/>
        </w:rPr>
        <w:t>corresponds to the target sequence.</w:t>
      </w:r>
    </w:p>
    <w:p w14:paraId="12298F4A" w14:textId="770001F2" w:rsidR="00146F17" w:rsidRDefault="008629D5" w:rsidP="00614A24">
      <w:pPr>
        <w:jc w:val="both"/>
        <w:rPr>
          <w:lang w:val="en-US"/>
        </w:rPr>
      </w:pPr>
      <w:r w:rsidRPr="008629D5">
        <w:rPr>
          <w:b/>
          <w:bCs/>
          <w:lang w:val="en-US"/>
        </w:rPr>
        <w:t>4.1</w:t>
      </w:r>
      <w:r>
        <w:rPr>
          <w:lang w:val="en-US"/>
        </w:rPr>
        <w:t xml:space="preserve"> Create </w:t>
      </w:r>
      <w:r w:rsidR="00CA7915">
        <w:rPr>
          <w:lang w:val="en-US"/>
        </w:rPr>
        <w:t>the complementary oligo by using the following website</w:t>
      </w:r>
      <w:r>
        <w:rPr>
          <w:lang w:val="en-US"/>
        </w:rPr>
        <w:t xml:space="preserve"> (or similar tool)</w:t>
      </w:r>
      <w:r w:rsidR="00CA7915">
        <w:rPr>
          <w:lang w:val="en-US"/>
        </w:rPr>
        <w:t xml:space="preserve">: </w:t>
      </w:r>
      <w:r w:rsidR="00E10451">
        <w:rPr>
          <w:lang w:val="en-US"/>
        </w:rPr>
        <w:fldChar w:fldCharType="begin"/>
      </w:r>
      <w:r w:rsidR="00E10451">
        <w:rPr>
          <w:lang w:val="en-US"/>
        </w:rPr>
        <w:instrText xml:space="preserve"> HYPERLINK "</w:instrText>
      </w:r>
      <w:r w:rsidR="00E10451" w:rsidRPr="00E10451">
        <w:rPr>
          <w:lang w:val="en-US"/>
        </w:rPr>
        <w:instrText>https://www.bioinformatics.org/sms/rev_comp.html</w:instrText>
      </w:r>
      <w:r w:rsidR="00E10451">
        <w:rPr>
          <w:lang w:val="en-US"/>
        </w:rPr>
        <w:instrText xml:space="preserve">" </w:instrText>
      </w:r>
      <w:r w:rsidR="00E10451">
        <w:rPr>
          <w:lang w:val="en-US"/>
        </w:rPr>
        <w:fldChar w:fldCharType="separate"/>
      </w:r>
      <w:r w:rsidR="00E10451" w:rsidRPr="0055272F">
        <w:rPr>
          <w:rStyle w:val="Hyperlink"/>
          <w:lang w:val="en-US"/>
        </w:rPr>
        <w:t>https://www.bioinformatics.org/sms/rev_comp.html</w:t>
      </w:r>
      <w:r w:rsidR="00E10451">
        <w:rPr>
          <w:lang w:val="en-US"/>
        </w:rPr>
        <w:fldChar w:fldCharType="end"/>
      </w:r>
    </w:p>
    <w:p w14:paraId="0B3B2819" w14:textId="47B8F4D5" w:rsidR="00D0203C" w:rsidRDefault="00CA7915" w:rsidP="00614A24">
      <w:pPr>
        <w:jc w:val="both"/>
        <w:rPr>
          <w:noProof/>
          <w:lang w:val="en-US"/>
        </w:rPr>
      </w:pPr>
      <w:r>
        <w:rPr>
          <w:lang w:val="en-US"/>
        </w:rPr>
        <w:t xml:space="preserve">Paste the gRNA sequence </w:t>
      </w:r>
      <w:r w:rsidR="00E10451">
        <w:rPr>
          <w:lang w:val="en-US"/>
        </w:rPr>
        <w:t>under</w:t>
      </w:r>
      <w:r>
        <w:rPr>
          <w:lang w:val="en-US"/>
        </w:rPr>
        <w:t xml:space="preserve"> </w:t>
      </w:r>
      <w:r w:rsidRPr="00CA7915">
        <w:rPr>
          <w:lang w:val="en-US"/>
        </w:rPr>
        <w:t>&gt;Sample sequence</w:t>
      </w:r>
      <w:r>
        <w:rPr>
          <w:lang w:val="en-US"/>
        </w:rPr>
        <w:t xml:space="preserve"> </w:t>
      </w:r>
      <w:r>
        <w:rPr>
          <w:lang w:val="en-US"/>
        </w:rPr>
        <w:t>in the text area</w:t>
      </w:r>
      <w:r w:rsidR="00D0203C">
        <w:rPr>
          <w:lang w:val="en-US"/>
        </w:rPr>
        <w:t xml:space="preserve"> like shown below, and press </w:t>
      </w:r>
      <w:r w:rsidR="00D0203C" w:rsidRPr="00D0203C">
        <w:rPr>
          <w:i/>
          <w:iCs/>
          <w:lang w:val="en-US"/>
        </w:rPr>
        <w:t>submit</w:t>
      </w:r>
      <w:r w:rsidR="00E10451">
        <w:rPr>
          <w:i/>
          <w:iCs/>
          <w:lang w:val="en-US"/>
        </w:rPr>
        <w:t xml:space="preserve"> </w:t>
      </w:r>
      <w:r w:rsidR="00E10451">
        <w:rPr>
          <w:lang w:val="en-US"/>
        </w:rPr>
        <w:t>to obtain the complementary oligo</w:t>
      </w:r>
      <w:r w:rsidR="00D0203C">
        <w:rPr>
          <w:lang w:val="en-US"/>
        </w:rPr>
        <w:t>.</w:t>
      </w:r>
      <w:r w:rsidR="00D0203C" w:rsidRPr="00D0203C">
        <w:rPr>
          <w:noProof/>
          <w:lang w:val="en-US"/>
        </w:rPr>
        <w:t xml:space="preserve"> </w:t>
      </w:r>
    </w:p>
    <w:p w14:paraId="330A6588" w14:textId="49097786" w:rsidR="00D0203C" w:rsidRDefault="00D0203C" w:rsidP="00614A24">
      <w:pPr>
        <w:jc w:val="both"/>
        <w:rPr>
          <w:lang w:val="en-US"/>
        </w:rPr>
      </w:pPr>
      <w:r>
        <w:rPr>
          <w:noProof/>
          <w:lang w:val="en-US"/>
        </w:rPr>
        <w:drawing>
          <wp:inline distT="0" distB="0" distL="0" distR="0" wp14:anchorId="09A16B0D" wp14:editId="2ACE89BF">
            <wp:extent cx="4221480" cy="2521585"/>
            <wp:effectExtent l="0" t="0" r="0" b="5715"/>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37425" cy="2531109"/>
                    </a:xfrm>
                    <a:prstGeom prst="rect">
                      <a:avLst/>
                    </a:prstGeom>
                  </pic:spPr>
                </pic:pic>
              </a:graphicData>
            </a:graphic>
          </wp:inline>
        </w:drawing>
      </w:r>
    </w:p>
    <w:p w14:paraId="297C3729" w14:textId="77777777" w:rsidR="00AD6F25" w:rsidRDefault="00AD6F25" w:rsidP="00614A24">
      <w:pPr>
        <w:jc w:val="both"/>
        <w:rPr>
          <w:lang w:val="en-US"/>
        </w:rPr>
      </w:pPr>
    </w:p>
    <w:p w14:paraId="0A0E5451" w14:textId="1C0C9350" w:rsidR="00513EA1" w:rsidRDefault="00513EA1" w:rsidP="00614A24">
      <w:pPr>
        <w:jc w:val="both"/>
        <w:rPr>
          <w:lang w:val="en-US"/>
        </w:rPr>
      </w:pPr>
      <w:r>
        <w:rPr>
          <w:lang w:val="en-US"/>
        </w:rPr>
        <w:t xml:space="preserve">Finalize the creation of the oligos by </w:t>
      </w:r>
      <w:r w:rsidR="00DD26F8">
        <w:rPr>
          <w:lang w:val="en-US"/>
        </w:rPr>
        <w:t>adding the following overhangs:</w:t>
      </w:r>
    </w:p>
    <w:p w14:paraId="5ECC0C7F" w14:textId="77777777" w:rsidR="00DD26F8" w:rsidRPr="00513EA1" w:rsidRDefault="00DD26F8" w:rsidP="00DD26F8">
      <w:pPr>
        <w:spacing w:after="0" w:line="240" w:lineRule="auto"/>
        <w:rPr>
          <w:rFonts w:ascii="Calibri" w:eastAsia="Times New Roman" w:hAnsi="Calibri" w:cs="Calibri"/>
          <w:color w:val="212121"/>
          <w:lang w:val="en-FI" w:eastAsia="en-GB"/>
        </w:rPr>
      </w:pPr>
      <w:r w:rsidRPr="00513EA1">
        <w:rPr>
          <w:rFonts w:ascii="Calibri" w:eastAsia="Times New Roman" w:hAnsi="Calibri" w:cs="Calibri"/>
          <w:color w:val="212121"/>
          <w:lang w:val="en-US" w:eastAsia="en-GB"/>
        </w:rPr>
        <w:t xml:space="preserve">For </w:t>
      </w:r>
      <w:r>
        <w:rPr>
          <w:rFonts w:ascii="Calibri" w:eastAsia="Times New Roman" w:hAnsi="Calibri" w:cs="Calibri"/>
          <w:color w:val="212121"/>
          <w:lang w:val="en-US" w:eastAsia="en-GB"/>
        </w:rPr>
        <w:t>F</w:t>
      </w:r>
      <w:r w:rsidRPr="00513EA1">
        <w:rPr>
          <w:rFonts w:ascii="Calibri" w:eastAsia="Times New Roman" w:hAnsi="Calibri" w:cs="Calibri"/>
          <w:color w:val="212121"/>
          <w:lang w:val="en-US" w:eastAsia="en-GB"/>
        </w:rPr>
        <w:t>orward oligo: 5’ </w:t>
      </w:r>
      <w:r w:rsidRPr="00513EA1">
        <w:rPr>
          <w:rFonts w:ascii="Calibri" w:eastAsia="Times New Roman" w:hAnsi="Calibri" w:cs="Calibri"/>
          <w:b/>
          <w:bCs/>
          <w:color w:val="212121"/>
          <w:lang w:val="en-US" w:eastAsia="en-GB"/>
        </w:rPr>
        <w:t>CACCG</w:t>
      </w:r>
      <w:r w:rsidRPr="00513EA1">
        <w:rPr>
          <w:rFonts w:ascii="Calibri" w:eastAsia="Times New Roman" w:hAnsi="Calibri" w:cs="Calibri"/>
          <w:color w:val="212121"/>
          <w:lang w:val="en-US" w:eastAsia="en-GB"/>
        </w:rPr>
        <w:t>------</w:t>
      </w:r>
      <w:r>
        <w:rPr>
          <w:rFonts w:ascii="Calibri" w:eastAsia="Times New Roman" w:hAnsi="Calibri" w:cs="Calibri"/>
          <w:color w:val="212121"/>
          <w:lang w:val="en-US" w:eastAsia="en-GB"/>
        </w:rPr>
        <w:t>--</w:t>
      </w:r>
      <w:r w:rsidRPr="00513EA1">
        <w:rPr>
          <w:rFonts w:ascii="Calibri" w:eastAsia="Times New Roman" w:hAnsi="Calibri" w:cs="Calibri"/>
          <w:color w:val="212121"/>
          <w:lang w:val="en-US" w:eastAsia="en-GB"/>
        </w:rPr>
        <w:t xml:space="preserve"> 3’</w:t>
      </w:r>
    </w:p>
    <w:p w14:paraId="55085919" w14:textId="77777777" w:rsidR="00DD26F8" w:rsidRPr="00513EA1" w:rsidRDefault="00DD26F8" w:rsidP="00DD26F8">
      <w:pPr>
        <w:spacing w:after="0" w:line="240" w:lineRule="auto"/>
        <w:rPr>
          <w:rFonts w:ascii="Calibri" w:eastAsia="Times New Roman" w:hAnsi="Calibri" w:cs="Calibri"/>
          <w:color w:val="212121"/>
          <w:lang w:val="en-FI" w:eastAsia="en-GB"/>
        </w:rPr>
      </w:pPr>
      <w:r w:rsidRPr="00513EA1">
        <w:rPr>
          <w:rFonts w:ascii="Calibri" w:eastAsia="Times New Roman" w:hAnsi="Calibri" w:cs="Calibri"/>
          <w:color w:val="212121"/>
          <w:lang w:val="en-US" w:eastAsia="en-GB"/>
        </w:rPr>
        <w:t xml:space="preserve">For Reverse oligo: 5’ </w:t>
      </w:r>
      <w:r w:rsidRPr="00513EA1">
        <w:rPr>
          <w:rFonts w:ascii="Calibri" w:eastAsia="Times New Roman" w:hAnsi="Calibri" w:cs="Calibri"/>
          <w:b/>
          <w:bCs/>
          <w:color w:val="212121"/>
          <w:lang w:val="en-US" w:eastAsia="en-GB"/>
        </w:rPr>
        <w:t>AAAC</w:t>
      </w:r>
      <w:r w:rsidRPr="00513EA1">
        <w:rPr>
          <w:rFonts w:ascii="Calibri" w:eastAsia="Times New Roman" w:hAnsi="Calibri" w:cs="Calibri"/>
          <w:color w:val="212121"/>
          <w:lang w:val="en-US" w:eastAsia="en-GB"/>
        </w:rPr>
        <w:t>--------</w:t>
      </w:r>
      <w:r w:rsidRPr="00513EA1">
        <w:rPr>
          <w:rFonts w:ascii="Calibri" w:eastAsia="Times New Roman" w:hAnsi="Calibri" w:cs="Calibri"/>
          <w:b/>
          <w:bCs/>
          <w:color w:val="212121"/>
          <w:lang w:val="en-US" w:eastAsia="en-GB"/>
        </w:rPr>
        <w:t>C</w:t>
      </w:r>
      <w:r w:rsidRPr="00513EA1">
        <w:rPr>
          <w:rFonts w:ascii="Calibri" w:eastAsia="Times New Roman" w:hAnsi="Calibri" w:cs="Calibri"/>
          <w:color w:val="212121"/>
          <w:lang w:val="en-US" w:eastAsia="en-GB"/>
        </w:rPr>
        <w:t xml:space="preserve"> 3’</w:t>
      </w:r>
    </w:p>
    <w:p w14:paraId="715ED987" w14:textId="77777777" w:rsidR="00DD26F8" w:rsidRPr="00DD26F8" w:rsidRDefault="00DD26F8" w:rsidP="00614A24">
      <w:pPr>
        <w:jc w:val="both"/>
        <w:rPr>
          <w:lang w:val="en-FI"/>
        </w:rPr>
      </w:pPr>
    </w:p>
    <w:p w14:paraId="5BA9BBA4" w14:textId="19640012" w:rsidR="00DD26F8" w:rsidRDefault="00DD26F8" w:rsidP="00614A24">
      <w:pPr>
        <w:jc w:val="both"/>
        <w:rPr>
          <w:lang w:val="en-US"/>
        </w:rPr>
      </w:pPr>
      <w:r>
        <w:rPr>
          <w:lang w:val="en-US"/>
        </w:rPr>
        <w:t xml:space="preserve">Here is a more detailed description with an example: </w:t>
      </w:r>
    </w:p>
    <w:p w14:paraId="24000ED3" w14:textId="0FFE5FFE" w:rsidR="0084336D" w:rsidRDefault="00513EA1" w:rsidP="0084336D">
      <w:pPr>
        <w:jc w:val="both"/>
        <w:rPr>
          <w:lang w:val="en-US"/>
        </w:rPr>
      </w:pPr>
      <w:r>
        <w:rPr>
          <w:noProof/>
          <w:lang w:val="en-US"/>
        </w:rPr>
        <w:drawing>
          <wp:inline distT="0" distB="0" distL="0" distR="0" wp14:anchorId="0E4C70CF" wp14:editId="30322D3E">
            <wp:extent cx="5033435" cy="2041236"/>
            <wp:effectExtent l="0" t="0" r="0" b="381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067004" cy="2054849"/>
                    </a:xfrm>
                    <a:prstGeom prst="rect">
                      <a:avLst/>
                    </a:prstGeom>
                  </pic:spPr>
                </pic:pic>
              </a:graphicData>
            </a:graphic>
          </wp:inline>
        </w:drawing>
      </w:r>
    </w:p>
    <w:p w14:paraId="6F01789F" w14:textId="19A9220C" w:rsidR="0078503F" w:rsidRDefault="0078503F" w:rsidP="0084336D">
      <w:pPr>
        <w:rPr>
          <w:b/>
          <w:bCs/>
          <w:lang w:val="en-US"/>
        </w:rPr>
      </w:pPr>
      <w:r>
        <w:rPr>
          <w:b/>
          <w:bCs/>
          <w:lang w:val="en-US"/>
        </w:rPr>
        <w:t xml:space="preserve">4. </w:t>
      </w:r>
      <w:r>
        <w:rPr>
          <w:b/>
          <w:bCs/>
          <w:lang w:val="en-US"/>
        </w:rPr>
        <w:t>Order the oligos</w:t>
      </w:r>
    </w:p>
    <w:p w14:paraId="67E45ACD" w14:textId="0E946C0A" w:rsidR="0084336D" w:rsidRDefault="0084336D" w:rsidP="0084336D">
      <w:pPr>
        <w:rPr>
          <w:lang w:val="en-US"/>
        </w:rPr>
      </w:pPr>
      <w:r>
        <w:rPr>
          <w:lang w:val="en-US"/>
        </w:rPr>
        <w:t>Order the oligos with the following synthesis parameters:</w:t>
      </w:r>
      <w:r>
        <w:rPr>
          <w:lang w:val="en-US"/>
        </w:rPr>
        <w:t xml:space="preserve"> </w:t>
      </w:r>
    </w:p>
    <w:p w14:paraId="7A5331BE" w14:textId="3951E846" w:rsidR="0084336D" w:rsidRPr="0084336D" w:rsidRDefault="0084336D" w:rsidP="0084336D">
      <w:pPr>
        <w:pStyle w:val="ListParagraph"/>
        <w:numPr>
          <w:ilvl w:val="0"/>
          <w:numId w:val="17"/>
        </w:numPr>
        <w:rPr>
          <w:lang w:val="en-US"/>
        </w:rPr>
      </w:pPr>
      <w:r w:rsidRPr="0084336D">
        <w:rPr>
          <w:lang w:val="en-US"/>
        </w:rPr>
        <w:t xml:space="preserve">Synthesis scale: </w:t>
      </w:r>
      <w:r w:rsidRPr="0084336D">
        <w:rPr>
          <w:rFonts w:ascii="Calibri" w:hAnsi="Calibri" w:cs="Calibri"/>
          <w:b/>
          <w:bCs/>
          <w:color w:val="212121"/>
          <w:lang w:val="en-US"/>
        </w:rPr>
        <w:t>0.01 µmol</w:t>
      </w:r>
      <w:r w:rsidRPr="0084336D">
        <w:rPr>
          <w:rFonts w:ascii="Calibri" w:hAnsi="Calibri" w:cs="Calibri"/>
          <w:color w:val="212121"/>
          <w:lang w:val="en-US"/>
        </w:rPr>
        <w:t xml:space="preserve"> minimum</w:t>
      </w:r>
    </w:p>
    <w:p w14:paraId="16488B57" w14:textId="5FCF576E" w:rsidR="0084336D" w:rsidRPr="0084336D" w:rsidRDefault="0084336D" w:rsidP="0084336D">
      <w:pPr>
        <w:pStyle w:val="ListParagraph"/>
        <w:numPr>
          <w:ilvl w:val="0"/>
          <w:numId w:val="17"/>
        </w:numPr>
        <w:rPr>
          <w:lang w:val="en-US"/>
        </w:rPr>
      </w:pPr>
      <w:r>
        <w:rPr>
          <w:rFonts w:ascii="Calibri" w:hAnsi="Calibri" w:cs="Calibri"/>
          <w:color w:val="212121"/>
          <w:lang w:val="en-US"/>
        </w:rPr>
        <w:t xml:space="preserve">Purification: </w:t>
      </w:r>
      <w:r w:rsidRPr="0084336D">
        <w:rPr>
          <w:rFonts w:ascii="Calibri" w:hAnsi="Calibri" w:cs="Calibri"/>
          <w:b/>
          <w:bCs/>
          <w:color w:val="212121"/>
          <w:lang w:val="en-US"/>
        </w:rPr>
        <w:t>desalted</w:t>
      </w:r>
    </w:p>
    <w:p w14:paraId="3059FEBD" w14:textId="45881107" w:rsidR="0084336D" w:rsidRPr="0084336D" w:rsidRDefault="0084336D" w:rsidP="0084336D">
      <w:pPr>
        <w:pStyle w:val="ListParagraph"/>
        <w:numPr>
          <w:ilvl w:val="0"/>
          <w:numId w:val="17"/>
        </w:numPr>
        <w:rPr>
          <w:lang w:val="en-US"/>
        </w:rPr>
      </w:pPr>
      <w:r>
        <w:rPr>
          <w:rFonts w:ascii="Calibri" w:hAnsi="Calibri" w:cs="Calibri"/>
          <w:color w:val="212121"/>
          <w:lang w:val="en-US"/>
        </w:rPr>
        <w:t xml:space="preserve">Format: </w:t>
      </w:r>
      <w:r w:rsidRPr="0084336D">
        <w:rPr>
          <w:rFonts w:ascii="Calibri" w:hAnsi="Calibri" w:cs="Calibri"/>
          <w:b/>
          <w:bCs/>
          <w:color w:val="212121"/>
          <w:lang w:val="en-US"/>
        </w:rPr>
        <w:t>liquid</w:t>
      </w:r>
    </w:p>
    <w:p w14:paraId="3504BB01" w14:textId="2B5815A7" w:rsidR="0084336D" w:rsidRPr="0084336D" w:rsidRDefault="0084336D" w:rsidP="0084336D">
      <w:pPr>
        <w:pStyle w:val="ListParagraph"/>
        <w:numPr>
          <w:ilvl w:val="0"/>
          <w:numId w:val="17"/>
        </w:numPr>
        <w:rPr>
          <w:lang w:val="en-US"/>
        </w:rPr>
      </w:pPr>
      <w:r>
        <w:rPr>
          <w:rFonts w:ascii="Calibri" w:hAnsi="Calibri" w:cs="Calibri"/>
          <w:color w:val="212121"/>
          <w:lang w:val="en-US"/>
        </w:rPr>
        <w:t xml:space="preserve">Concentration: adjusted to </w:t>
      </w:r>
      <w:r w:rsidRPr="0084336D">
        <w:rPr>
          <w:rFonts w:ascii="Calibri" w:hAnsi="Calibri" w:cs="Calibri"/>
          <w:b/>
          <w:bCs/>
          <w:color w:val="212121"/>
          <w:lang w:val="en-US"/>
        </w:rPr>
        <w:t>100 µM</w:t>
      </w:r>
      <w:r>
        <w:rPr>
          <w:rFonts w:ascii="Calibri" w:hAnsi="Calibri" w:cs="Calibri"/>
          <w:color w:val="212121"/>
          <w:lang w:val="en-US"/>
        </w:rPr>
        <w:t xml:space="preserve"> (H2O)</w:t>
      </w:r>
    </w:p>
    <w:p w14:paraId="78C26DE9" w14:textId="0BD75ABD" w:rsidR="0084336D" w:rsidRPr="0084336D" w:rsidRDefault="0084336D" w:rsidP="00513EA1">
      <w:pPr>
        <w:pStyle w:val="NormalWeb"/>
        <w:shd w:val="clear" w:color="auto" w:fill="FFFFFF"/>
        <w:rPr>
          <w:rFonts w:ascii="Arial" w:hAnsi="Arial" w:cs="Arial"/>
          <w:b/>
          <w:bCs/>
          <w:sz w:val="20"/>
          <w:szCs w:val="20"/>
          <w:u w:val="single"/>
          <w:lang w:val="en-US"/>
        </w:rPr>
      </w:pPr>
    </w:p>
    <w:p w14:paraId="4E765D14" w14:textId="1E929748" w:rsidR="00513EA1" w:rsidRPr="00513EA1" w:rsidRDefault="00513EA1" w:rsidP="00513EA1">
      <w:pPr>
        <w:pStyle w:val="NormalWeb"/>
        <w:shd w:val="clear" w:color="auto" w:fill="FFFFFF"/>
        <w:rPr>
          <w:rFonts w:ascii="ArialMT" w:hAnsi="ArialMT"/>
          <w:sz w:val="20"/>
          <w:szCs w:val="20"/>
          <w:u w:val="single"/>
        </w:rPr>
      </w:pPr>
      <w:proofErr w:type="spellStart"/>
      <w:r w:rsidRPr="00513EA1">
        <w:rPr>
          <w:rFonts w:ascii="Arial" w:hAnsi="Arial" w:cs="Arial"/>
          <w:b/>
          <w:bCs/>
          <w:sz w:val="20"/>
          <w:szCs w:val="20"/>
          <w:u w:val="single"/>
          <w:lang w:val="fi-FI"/>
        </w:rPr>
        <w:t>Reference</w:t>
      </w:r>
      <w:r w:rsidR="00D273B1">
        <w:rPr>
          <w:rFonts w:ascii="Arial" w:hAnsi="Arial" w:cs="Arial"/>
          <w:b/>
          <w:bCs/>
          <w:sz w:val="20"/>
          <w:szCs w:val="20"/>
          <w:u w:val="single"/>
          <w:lang w:val="fi-FI"/>
        </w:rPr>
        <w:t>s</w:t>
      </w:r>
      <w:proofErr w:type="spellEnd"/>
      <w:r w:rsidRPr="00513EA1">
        <w:rPr>
          <w:rFonts w:ascii="Arial" w:hAnsi="Arial" w:cs="Arial"/>
          <w:b/>
          <w:bCs/>
          <w:sz w:val="20"/>
          <w:szCs w:val="20"/>
          <w:u w:val="single"/>
        </w:rPr>
        <w:t xml:space="preserve">: </w:t>
      </w:r>
    </w:p>
    <w:p w14:paraId="35DD6F8F" w14:textId="3F663119" w:rsidR="00513EA1" w:rsidRDefault="00513EA1" w:rsidP="00513EA1">
      <w:pPr>
        <w:pStyle w:val="NormalWeb"/>
        <w:shd w:val="clear" w:color="auto" w:fill="FFFFFF"/>
      </w:pPr>
      <w:r>
        <w:rPr>
          <w:rFonts w:ascii="ArialMT" w:hAnsi="ArialMT"/>
          <w:sz w:val="20"/>
          <w:szCs w:val="20"/>
        </w:rPr>
        <w:br/>
      </w:r>
      <w:r>
        <w:rPr>
          <w:rFonts w:ascii="Arial" w:hAnsi="Arial" w:cs="Arial"/>
          <w:b/>
          <w:bCs/>
          <w:sz w:val="20"/>
          <w:szCs w:val="20"/>
        </w:rPr>
        <w:t xml:space="preserve">Improved lentiviral vectors and genome-wide libraries for CRISPR screening. </w:t>
      </w:r>
      <w:r>
        <w:rPr>
          <w:rFonts w:ascii="ArialMT" w:hAnsi="ArialMT"/>
          <w:sz w:val="20"/>
          <w:szCs w:val="20"/>
        </w:rPr>
        <w:t xml:space="preserve">Sanjana NE*, Shalem O*, </w:t>
      </w:r>
    </w:p>
    <w:p w14:paraId="0B0D9B51" w14:textId="77777777" w:rsidR="00513EA1" w:rsidRDefault="00513EA1" w:rsidP="00513EA1">
      <w:pPr>
        <w:pStyle w:val="NormalWeb"/>
        <w:shd w:val="clear" w:color="auto" w:fill="FFFFFF"/>
      </w:pPr>
      <w:r>
        <w:rPr>
          <w:rFonts w:ascii="ArialMT" w:hAnsi="ArialMT"/>
          <w:sz w:val="20"/>
          <w:szCs w:val="20"/>
        </w:rPr>
        <w:lastRenderedPageBreak/>
        <w:t xml:space="preserve">Zhang F. </w:t>
      </w:r>
      <w:r>
        <w:rPr>
          <w:rFonts w:ascii="Arial" w:hAnsi="Arial" w:cs="Arial"/>
          <w:i/>
          <w:iCs/>
          <w:sz w:val="20"/>
          <w:szCs w:val="20"/>
        </w:rPr>
        <w:t xml:space="preserve">Nature Methods </w:t>
      </w:r>
      <w:r>
        <w:rPr>
          <w:rFonts w:ascii="ArialMT" w:hAnsi="ArialMT"/>
          <w:sz w:val="20"/>
          <w:szCs w:val="20"/>
        </w:rPr>
        <w:t xml:space="preserve">(2014). </w:t>
      </w:r>
    </w:p>
    <w:p w14:paraId="240C2827" w14:textId="77777777" w:rsidR="00513EA1" w:rsidRDefault="00513EA1" w:rsidP="00513EA1">
      <w:pPr>
        <w:pStyle w:val="NormalWeb"/>
        <w:shd w:val="clear" w:color="auto" w:fill="FFFFFF"/>
      </w:pPr>
      <w:r>
        <w:rPr>
          <w:rFonts w:ascii="Arial" w:hAnsi="Arial" w:cs="Arial"/>
          <w:b/>
          <w:bCs/>
          <w:sz w:val="20"/>
          <w:szCs w:val="20"/>
        </w:rPr>
        <w:t xml:space="preserve">Genome-scale CRISPR-Cas9 knockout screening in human cells. </w:t>
      </w:r>
      <w:r>
        <w:rPr>
          <w:rFonts w:ascii="ArialMT" w:hAnsi="ArialMT"/>
          <w:sz w:val="20"/>
          <w:szCs w:val="20"/>
        </w:rPr>
        <w:t xml:space="preserve">Shalem O*, Sanjana NE*, Hartenian E, Shi X, Scott DA, Mikkelsen T, Heckl D, Ebert BL, Root DE, Doench JG, Zhang F (2014). </w:t>
      </w:r>
      <w:r>
        <w:rPr>
          <w:rFonts w:ascii="Arial" w:hAnsi="Arial" w:cs="Arial"/>
          <w:i/>
          <w:iCs/>
          <w:sz w:val="20"/>
          <w:szCs w:val="20"/>
        </w:rPr>
        <w:t>Science</w:t>
      </w:r>
      <w:r>
        <w:rPr>
          <w:rFonts w:ascii="ArialMT" w:hAnsi="ArialMT"/>
          <w:sz w:val="20"/>
          <w:szCs w:val="20"/>
        </w:rPr>
        <w:t xml:space="preserve">, 343, 83-7. DOI: 10.1126/science.1247005 </w:t>
      </w:r>
    </w:p>
    <w:p w14:paraId="4B799921" w14:textId="77777777" w:rsidR="00CA7915" w:rsidRPr="00A967E4" w:rsidRDefault="00CA7915" w:rsidP="00614A24">
      <w:pPr>
        <w:jc w:val="both"/>
        <w:rPr>
          <w:lang w:val="en-US"/>
        </w:rPr>
      </w:pPr>
    </w:p>
    <w:sectPr w:rsidR="00CA7915" w:rsidRPr="00A967E4" w:rsidSect="00D2360A">
      <w:pgSz w:w="16838" w:h="11906" w:orient="landscape"/>
      <w:pgMar w:top="1134" w:right="1417" w:bottom="1134"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BC9"/>
    <w:multiLevelType w:val="hybridMultilevel"/>
    <w:tmpl w:val="E65605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8A69D8"/>
    <w:multiLevelType w:val="multilevel"/>
    <w:tmpl w:val="ABA8C54C"/>
    <w:lvl w:ilvl="0">
      <w:start w:val="3"/>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2915982"/>
    <w:multiLevelType w:val="hybridMultilevel"/>
    <w:tmpl w:val="E65605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D45C71"/>
    <w:multiLevelType w:val="hybridMultilevel"/>
    <w:tmpl w:val="A0C64F8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7D48D9"/>
    <w:multiLevelType w:val="multilevel"/>
    <w:tmpl w:val="3622FD64"/>
    <w:numStyleLink w:val="CurrentList1"/>
  </w:abstractNum>
  <w:abstractNum w:abstractNumId="5" w15:restartNumberingAfterBreak="0">
    <w:nsid w:val="37CF4D43"/>
    <w:multiLevelType w:val="multilevel"/>
    <w:tmpl w:val="AF0AB8E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92D28ED"/>
    <w:multiLevelType w:val="hybridMultilevel"/>
    <w:tmpl w:val="D1565B04"/>
    <w:lvl w:ilvl="0" w:tplc="192E4970">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7" w15:restartNumberingAfterBreak="0">
    <w:nsid w:val="3DCD2EE2"/>
    <w:multiLevelType w:val="hybridMultilevel"/>
    <w:tmpl w:val="ADFE9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5329E3"/>
    <w:multiLevelType w:val="hybridMultilevel"/>
    <w:tmpl w:val="30A6C2E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118786F"/>
    <w:multiLevelType w:val="multilevel"/>
    <w:tmpl w:val="3622FD64"/>
    <w:lvl w:ilvl="0">
      <w:start w:val="3"/>
      <w:numFmt w:val="decimal"/>
      <w:lvlText w:val="%1"/>
      <w:lvlJc w:val="left"/>
      <w:pPr>
        <w:ind w:left="440" w:hanging="440"/>
      </w:pPr>
      <w:rPr>
        <w:rFonts w:hint="default"/>
      </w:rPr>
    </w:lvl>
    <w:lvl w:ilvl="1">
      <w:start w:val="3"/>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E235057"/>
    <w:multiLevelType w:val="multilevel"/>
    <w:tmpl w:val="B76A090E"/>
    <w:lvl w:ilvl="0">
      <w:start w:val="3"/>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FAE7FC9"/>
    <w:multiLevelType w:val="multilevel"/>
    <w:tmpl w:val="3622FD64"/>
    <w:styleLink w:val="CurrentList1"/>
    <w:lvl w:ilvl="0">
      <w:start w:val="3"/>
      <w:numFmt w:val="decimal"/>
      <w:lvlText w:val="%1"/>
      <w:lvlJc w:val="left"/>
      <w:pPr>
        <w:ind w:left="440" w:hanging="440"/>
      </w:pPr>
      <w:rPr>
        <w:rFonts w:hint="default"/>
      </w:rPr>
    </w:lvl>
    <w:lvl w:ilvl="1">
      <w:start w:val="3"/>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63C0116"/>
    <w:multiLevelType w:val="hybridMultilevel"/>
    <w:tmpl w:val="5E56721A"/>
    <w:lvl w:ilvl="0" w:tplc="E5547EFE">
      <w:start w:val="1"/>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5AEF52AD"/>
    <w:multiLevelType w:val="hybridMultilevel"/>
    <w:tmpl w:val="D876B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7D2B75"/>
    <w:multiLevelType w:val="multilevel"/>
    <w:tmpl w:val="AF0AB8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C844206"/>
    <w:multiLevelType w:val="multilevel"/>
    <w:tmpl w:val="ABA8C54C"/>
    <w:lvl w:ilvl="0">
      <w:start w:val="3"/>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1692005"/>
    <w:multiLevelType w:val="hybridMultilevel"/>
    <w:tmpl w:val="E656056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635644312">
    <w:abstractNumId w:val="16"/>
  </w:num>
  <w:num w:numId="2" w16cid:durableId="1434208636">
    <w:abstractNumId w:val="2"/>
  </w:num>
  <w:num w:numId="3" w16cid:durableId="677927264">
    <w:abstractNumId w:val="6"/>
  </w:num>
  <w:num w:numId="4" w16cid:durableId="845561349">
    <w:abstractNumId w:val="8"/>
  </w:num>
  <w:num w:numId="5" w16cid:durableId="1310675900">
    <w:abstractNumId w:val="12"/>
  </w:num>
  <w:num w:numId="6" w16cid:durableId="1327202284">
    <w:abstractNumId w:val="0"/>
  </w:num>
  <w:num w:numId="7" w16cid:durableId="5249661">
    <w:abstractNumId w:val="13"/>
  </w:num>
  <w:num w:numId="8" w16cid:durableId="774134122">
    <w:abstractNumId w:val="14"/>
  </w:num>
  <w:num w:numId="9" w16cid:durableId="1393850647">
    <w:abstractNumId w:val="1"/>
  </w:num>
  <w:num w:numId="10" w16cid:durableId="547954302">
    <w:abstractNumId w:val="15"/>
  </w:num>
  <w:num w:numId="11" w16cid:durableId="330527612">
    <w:abstractNumId w:val="5"/>
  </w:num>
  <w:num w:numId="12" w16cid:durableId="1436635900">
    <w:abstractNumId w:val="9"/>
  </w:num>
  <w:num w:numId="13" w16cid:durableId="624584175">
    <w:abstractNumId w:val="11"/>
  </w:num>
  <w:num w:numId="14" w16cid:durableId="1610312401">
    <w:abstractNumId w:val="10"/>
  </w:num>
  <w:num w:numId="15" w16cid:durableId="1637369281">
    <w:abstractNumId w:val="4"/>
  </w:num>
  <w:num w:numId="16" w16cid:durableId="2146894506">
    <w:abstractNumId w:val="3"/>
  </w:num>
  <w:num w:numId="17" w16cid:durableId="1131289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ECD"/>
    <w:rsid w:val="0002043A"/>
    <w:rsid w:val="00022597"/>
    <w:rsid w:val="00025F1D"/>
    <w:rsid w:val="00032A54"/>
    <w:rsid w:val="00050082"/>
    <w:rsid w:val="00052C54"/>
    <w:rsid w:val="000644DB"/>
    <w:rsid w:val="00072B06"/>
    <w:rsid w:val="00076A02"/>
    <w:rsid w:val="00077BC8"/>
    <w:rsid w:val="000862A4"/>
    <w:rsid w:val="000C18F2"/>
    <w:rsid w:val="000C5AB2"/>
    <w:rsid w:val="000D7F28"/>
    <w:rsid w:val="000F535E"/>
    <w:rsid w:val="00101287"/>
    <w:rsid w:val="00117FC9"/>
    <w:rsid w:val="0012349D"/>
    <w:rsid w:val="001263D7"/>
    <w:rsid w:val="00135D2D"/>
    <w:rsid w:val="00141B2B"/>
    <w:rsid w:val="00146F17"/>
    <w:rsid w:val="00162478"/>
    <w:rsid w:val="001647E3"/>
    <w:rsid w:val="00170A20"/>
    <w:rsid w:val="00170BA2"/>
    <w:rsid w:val="00177D9E"/>
    <w:rsid w:val="00181EA6"/>
    <w:rsid w:val="001A3012"/>
    <w:rsid w:val="001B69AD"/>
    <w:rsid w:val="001C6C6F"/>
    <w:rsid w:val="001D0AD9"/>
    <w:rsid w:val="00212AC9"/>
    <w:rsid w:val="002152F7"/>
    <w:rsid w:val="0021773C"/>
    <w:rsid w:val="0024177A"/>
    <w:rsid w:val="0024248F"/>
    <w:rsid w:val="00250BE2"/>
    <w:rsid w:val="00261CBB"/>
    <w:rsid w:val="002634DB"/>
    <w:rsid w:val="00281D51"/>
    <w:rsid w:val="00293BF4"/>
    <w:rsid w:val="002A1EA0"/>
    <w:rsid w:val="002A6089"/>
    <w:rsid w:val="002A66BE"/>
    <w:rsid w:val="002B138F"/>
    <w:rsid w:val="002B1F6E"/>
    <w:rsid w:val="002E6553"/>
    <w:rsid w:val="0032267D"/>
    <w:rsid w:val="00323952"/>
    <w:rsid w:val="003273FA"/>
    <w:rsid w:val="00334143"/>
    <w:rsid w:val="00383D24"/>
    <w:rsid w:val="0039236B"/>
    <w:rsid w:val="003A7F10"/>
    <w:rsid w:val="003B52CE"/>
    <w:rsid w:val="003D037C"/>
    <w:rsid w:val="003D4552"/>
    <w:rsid w:val="003E3C46"/>
    <w:rsid w:val="003E6958"/>
    <w:rsid w:val="003E7DC9"/>
    <w:rsid w:val="003F22DD"/>
    <w:rsid w:val="003F2ED3"/>
    <w:rsid w:val="0040632D"/>
    <w:rsid w:val="00406B47"/>
    <w:rsid w:val="00407E46"/>
    <w:rsid w:val="00412369"/>
    <w:rsid w:val="00415163"/>
    <w:rsid w:val="00417DB7"/>
    <w:rsid w:val="00433C77"/>
    <w:rsid w:val="0044253E"/>
    <w:rsid w:val="00452E6E"/>
    <w:rsid w:val="00471819"/>
    <w:rsid w:val="00477103"/>
    <w:rsid w:val="00477FFC"/>
    <w:rsid w:val="004823EC"/>
    <w:rsid w:val="00486695"/>
    <w:rsid w:val="004B5AF9"/>
    <w:rsid w:val="004C0B47"/>
    <w:rsid w:val="004E106E"/>
    <w:rsid w:val="004E35B4"/>
    <w:rsid w:val="004E442C"/>
    <w:rsid w:val="00507818"/>
    <w:rsid w:val="005132E9"/>
    <w:rsid w:val="00513EA1"/>
    <w:rsid w:val="005162FC"/>
    <w:rsid w:val="005200A9"/>
    <w:rsid w:val="005232D5"/>
    <w:rsid w:val="00523E9E"/>
    <w:rsid w:val="005713E1"/>
    <w:rsid w:val="00575E77"/>
    <w:rsid w:val="0058578D"/>
    <w:rsid w:val="005A41A7"/>
    <w:rsid w:val="005A57A4"/>
    <w:rsid w:val="005D06F1"/>
    <w:rsid w:val="0060393E"/>
    <w:rsid w:val="00610C33"/>
    <w:rsid w:val="00613AFE"/>
    <w:rsid w:val="00614A24"/>
    <w:rsid w:val="006338FB"/>
    <w:rsid w:val="0063740D"/>
    <w:rsid w:val="00642382"/>
    <w:rsid w:val="00661A71"/>
    <w:rsid w:val="006C2A71"/>
    <w:rsid w:val="006E3155"/>
    <w:rsid w:val="00713950"/>
    <w:rsid w:val="007448AE"/>
    <w:rsid w:val="007461F3"/>
    <w:rsid w:val="00752769"/>
    <w:rsid w:val="00772E9E"/>
    <w:rsid w:val="00781EDC"/>
    <w:rsid w:val="0078503F"/>
    <w:rsid w:val="00794E14"/>
    <w:rsid w:val="00796572"/>
    <w:rsid w:val="007A3CF7"/>
    <w:rsid w:val="007A527E"/>
    <w:rsid w:val="007B3023"/>
    <w:rsid w:val="007C608B"/>
    <w:rsid w:val="007C70B4"/>
    <w:rsid w:val="007D1C39"/>
    <w:rsid w:val="007D2F2D"/>
    <w:rsid w:val="007D59CA"/>
    <w:rsid w:val="0080098C"/>
    <w:rsid w:val="00827FE2"/>
    <w:rsid w:val="00830B22"/>
    <w:rsid w:val="00842C3B"/>
    <w:rsid w:val="0084336D"/>
    <w:rsid w:val="0085418A"/>
    <w:rsid w:val="00856F70"/>
    <w:rsid w:val="008629D5"/>
    <w:rsid w:val="00862DF5"/>
    <w:rsid w:val="008667AB"/>
    <w:rsid w:val="008941A4"/>
    <w:rsid w:val="0089433A"/>
    <w:rsid w:val="008A16E3"/>
    <w:rsid w:val="008A4D82"/>
    <w:rsid w:val="008B35CA"/>
    <w:rsid w:val="008B43F6"/>
    <w:rsid w:val="008C1859"/>
    <w:rsid w:val="008C1ADF"/>
    <w:rsid w:val="008F4625"/>
    <w:rsid w:val="008F4C89"/>
    <w:rsid w:val="008F684A"/>
    <w:rsid w:val="00902AD2"/>
    <w:rsid w:val="0090758B"/>
    <w:rsid w:val="0092789B"/>
    <w:rsid w:val="00941DE4"/>
    <w:rsid w:val="00963BC4"/>
    <w:rsid w:val="00965EB2"/>
    <w:rsid w:val="009766ED"/>
    <w:rsid w:val="009870D2"/>
    <w:rsid w:val="0099023F"/>
    <w:rsid w:val="00991EB8"/>
    <w:rsid w:val="009A0EF0"/>
    <w:rsid w:val="009B3862"/>
    <w:rsid w:val="009D0A2A"/>
    <w:rsid w:val="009E0E66"/>
    <w:rsid w:val="009F4BB3"/>
    <w:rsid w:val="009F6A67"/>
    <w:rsid w:val="00A0488A"/>
    <w:rsid w:val="00A06A80"/>
    <w:rsid w:val="00A143F1"/>
    <w:rsid w:val="00A22449"/>
    <w:rsid w:val="00A36C0C"/>
    <w:rsid w:val="00A376DA"/>
    <w:rsid w:val="00A41A3F"/>
    <w:rsid w:val="00A47061"/>
    <w:rsid w:val="00A53DFC"/>
    <w:rsid w:val="00A55970"/>
    <w:rsid w:val="00A82FCC"/>
    <w:rsid w:val="00A91680"/>
    <w:rsid w:val="00A967E4"/>
    <w:rsid w:val="00AB134A"/>
    <w:rsid w:val="00AC1147"/>
    <w:rsid w:val="00AC4C15"/>
    <w:rsid w:val="00AC7926"/>
    <w:rsid w:val="00AD11A5"/>
    <w:rsid w:val="00AD6969"/>
    <w:rsid w:val="00AD6F25"/>
    <w:rsid w:val="00AF422B"/>
    <w:rsid w:val="00B01C79"/>
    <w:rsid w:val="00B159FE"/>
    <w:rsid w:val="00B25B16"/>
    <w:rsid w:val="00B30844"/>
    <w:rsid w:val="00B377B9"/>
    <w:rsid w:val="00B37A3D"/>
    <w:rsid w:val="00B414FD"/>
    <w:rsid w:val="00B42F4A"/>
    <w:rsid w:val="00B55139"/>
    <w:rsid w:val="00B71A32"/>
    <w:rsid w:val="00B74905"/>
    <w:rsid w:val="00B759AC"/>
    <w:rsid w:val="00BA27B6"/>
    <w:rsid w:val="00BA337F"/>
    <w:rsid w:val="00BB36AD"/>
    <w:rsid w:val="00BB6267"/>
    <w:rsid w:val="00BC0D0F"/>
    <w:rsid w:val="00BC5856"/>
    <w:rsid w:val="00BC7A71"/>
    <w:rsid w:val="00BE0E8F"/>
    <w:rsid w:val="00BE4ECD"/>
    <w:rsid w:val="00BF197E"/>
    <w:rsid w:val="00BF379B"/>
    <w:rsid w:val="00BF4823"/>
    <w:rsid w:val="00C01136"/>
    <w:rsid w:val="00C02FF0"/>
    <w:rsid w:val="00C0420D"/>
    <w:rsid w:val="00C25528"/>
    <w:rsid w:val="00C306F2"/>
    <w:rsid w:val="00C43D77"/>
    <w:rsid w:val="00C606D7"/>
    <w:rsid w:val="00C64DEC"/>
    <w:rsid w:val="00CA696E"/>
    <w:rsid w:val="00CA7915"/>
    <w:rsid w:val="00CB19FC"/>
    <w:rsid w:val="00CC0806"/>
    <w:rsid w:val="00CC6721"/>
    <w:rsid w:val="00CD0FA2"/>
    <w:rsid w:val="00CD5701"/>
    <w:rsid w:val="00CE686D"/>
    <w:rsid w:val="00CF05C4"/>
    <w:rsid w:val="00CF0F29"/>
    <w:rsid w:val="00D0203C"/>
    <w:rsid w:val="00D13E4A"/>
    <w:rsid w:val="00D2360A"/>
    <w:rsid w:val="00D25ECA"/>
    <w:rsid w:val="00D273B1"/>
    <w:rsid w:val="00D335AE"/>
    <w:rsid w:val="00D457E1"/>
    <w:rsid w:val="00D72644"/>
    <w:rsid w:val="00D92573"/>
    <w:rsid w:val="00D92C4B"/>
    <w:rsid w:val="00DA3EB5"/>
    <w:rsid w:val="00DA55AA"/>
    <w:rsid w:val="00DB00E4"/>
    <w:rsid w:val="00DB75ED"/>
    <w:rsid w:val="00DD26F8"/>
    <w:rsid w:val="00DF07A4"/>
    <w:rsid w:val="00DF0E45"/>
    <w:rsid w:val="00E05F34"/>
    <w:rsid w:val="00E10451"/>
    <w:rsid w:val="00E44226"/>
    <w:rsid w:val="00E7272B"/>
    <w:rsid w:val="00E92212"/>
    <w:rsid w:val="00E934B2"/>
    <w:rsid w:val="00EA414A"/>
    <w:rsid w:val="00EA6404"/>
    <w:rsid w:val="00EB716E"/>
    <w:rsid w:val="00ED034A"/>
    <w:rsid w:val="00ED7523"/>
    <w:rsid w:val="00ED76E4"/>
    <w:rsid w:val="00EE06DC"/>
    <w:rsid w:val="00EE425C"/>
    <w:rsid w:val="00EE5274"/>
    <w:rsid w:val="00F06778"/>
    <w:rsid w:val="00F06B3D"/>
    <w:rsid w:val="00F22BC0"/>
    <w:rsid w:val="00F358BC"/>
    <w:rsid w:val="00F403A5"/>
    <w:rsid w:val="00F46EEA"/>
    <w:rsid w:val="00F72F28"/>
    <w:rsid w:val="00F8651C"/>
    <w:rsid w:val="00F925AC"/>
    <w:rsid w:val="00F9510D"/>
    <w:rsid w:val="00FC52CE"/>
    <w:rsid w:val="00FC5F35"/>
    <w:rsid w:val="00FD0672"/>
    <w:rsid w:val="00FD7E85"/>
    <w:rsid w:val="00FF2723"/>
    <w:rsid w:val="00FF559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27E44"/>
  <w15:chartTrackingRefBased/>
  <w15:docId w15:val="{A5CE41E9-FA97-4377-A5B2-96CE984F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76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ECD"/>
    <w:pPr>
      <w:ind w:left="720"/>
      <w:contextualSpacing/>
    </w:pPr>
  </w:style>
  <w:style w:type="character" w:customStyle="1" w:styleId="Heading1Char">
    <w:name w:val="Heading 1 Char"/>
    <w:basedOn w:val="DefaultParagraphFont"/>
    <w:link w:val="Heading1"/>
    <w:uiPriority w:val="9"/>
    <w:rsid w:val="00A376DA"/>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D0FA2"/>
    <w:rPr>
      <w:sz w:val="16"/>
      <w:szCs w:val="16"/>
    </w:rPr>
  </w:style>
  <w:style w:type="paragraph" w:styleId="CommentText">
    <w:name w:val="annotation text"/>
    <w:basedOn w:val="Normal"/>
    <w:link w:val="CommentTextChar"/>
    <w:uiPriority w:val="99"/>
    <w:semiHidden/>
    <w:unhideWhenUsed/>
    <w:rsid w:val="00CD0FA2"/>
    <w:pPr>
      <w:spacing w:line="240" w:lineRule="auto"/>
    </w:pPr>
    <w:rPr>
      <w:sz w:val="20"/>
      <w:szCs w:val="20"/>
    </w:rPr>
  </w:style>
  <w:style w:type="character" w:customStyle="1" w:styleId="CommentTextChar">
    <w:name w:val="Comment Text Char"/>
    <w:basedOn w:val="DefaultParagraphFont"/>
    <w:link w:val="CommentText"/>
    <w:uiPriority w:val="99"/>
    <w:semiHidden/>
    <w:rsid w:val="00CD0FA2"/>
    <w:rPr>
      <w:sz w:val="20"/>
      <w:szCs w:val="20"/>
    </w:rPr>
  </w:style>
  <w:style w:type="paragraph" w:styleId="CommentSubject">
    <w:name w:val="annotation subject"/>
    <w:basedOn w:val="CommentText"/>
    <w:next w:val="CommentText"/>
    <w:link w:val="CommentSubjectChar"/>
    <w:uiPriority w:val="99"/>
    <w:semiHidden/>
    <w:unhideWhenUsed/>
    <w:rsid w:val="00CD0FA2"/>
    <w:rPr>
      <w:b/>
      <w:bCs/>
    </w:rPr>
  </w:style>
  <w:style w:type="character" w:customStyle="1" w:styleId="CommentSubjectChar">
    <w:name w:val="Comment Subject Char"/>
    <w:basedOn w:val="CommentTextChar"/>
    <w:link w:val="CommentSubject"/>
    <w:uiPriority w:val="99"/>
    <w:semiHidden/>
    <w:rsid w:val="00CD0FA2"/>
    <w:rPr>
      <w:b/>
      <w:bCs/>
      <w:sz w:val="20"/>
      <w:szCs w:val="20"/>
    </w:rPr>
  </w:style>
  <w:style w:type="character" w:styleId="Hyperlink">
    <w:name w:val="Hyperlink"/>
    <w:basedOn w:val="DefaultParagraphFont"/>
    <w:uiPriority w:val="99"/>
    <w:unhideWhenUsed/>
    <w:rsid w:val="00B37A3D"/>
    <w:rPr>
      <w:color w:val="0563C1" w:themeColor="hyperlink"/>
      <w:u w:val="single"/>
    </w:rPr>
  </w:style>
  <w:style w:type="character" w:styleId="UnresolvedMention">
    <w:name w:val="Unresolved Mention"/>
    <w:basedOn w:val="DefaultParagraphFont"/>
    <w:uiPriority w:val="99"/>
    <w:semiHidden/>
    <w:unhideWhenUsed/>
    <w:rsid w:val="00B37A3D"/>
    <w:rPr>
      <w:color w:val="605E5C"/>
      <w:shd w:val="clear" w:color="auto" w:fill="E1DFDD"/>
    </w:rPr>
  </w:style>
  <w:style w:type="numbering" w:customStyle="1" w:styleId="CurrentList1">
    <w:name w:val="Current List1"/>
    <w:uiPriority w:val="99"/>
    <w:rsid w:val="002A1EA0"/>
    <w:pPr>
      <w:numPr>
        <w:numId w:val="13"/>
      </w:numPr>
    </w:pPr>
  </w:style>
  <w:style w:type="character" w:styleId="FollowedHyperlink">
    <w:name w:val="FollowedHyperlink"/>
    <w:basedOn w:val="DefaultParagraphFont"/>
    <w:uiPriority w:val="99"/>
    <w:semiHidden/>
    <w:unhideWhenUsed/>
    <w:rsid w:val="00477103"/>
    <w:rPr>
      <w:color w:val="954F72" w:themeColor="followedHyperlink"/>
      <w:u w:val="single"/>
    </w:rPr>
  </w:style>
  <w:style w:type="character" w:customStyle="1" w:styleId="apple-converted-space">
    <w:name w:val="apple-converted-space"/>
    <w:basedOn w:val="DefaultParagraphFont"/>
    <w:rsid w:val="00513EA1"/>
  </w:style>
  <w:style w:type="paragraph" w:styleId="NormalWeb">
    <w:name w:val="Normal (Web)"/>
    <w:basedOn w:val="Normal"/>
    <w:uiPriority w:val="99"/>
    <w:semiHidden/>
    <w:unhideWhenUsed/>
    <w:rsid w:val="00513EA1"/>
    <w:pPr>
      <w:spacing w:before="100" w:beforeAutospacing="1" w:after="100" w:afterAutospacing="1" w:line="240" w:lineRule="auto"/>
    </w:pPr>
    <w:rPr>
      <w:rFonts w:ascii="Times New Roman" w:eastAsia="Times New Roman" w:hAnsi="Times New Roman" w:cs="Times New Roman"/>
      <w:sz w:val="24"/>
      <w:szCs w:val="24"/>
      <w:lang w:val="en-FI"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239259">
      <w:bodyDiv w:val="1"/>
      <w:marLeft w:val="0"/>
      <w:marRight w:val="0"/>
      <w:marTop w:val="0"/>
      <w:marBottom w:val="0"/>
      <w:divBdr>
        <w:top w:val="none" w:sz="0" w:space="0" w:color="auto"/>
        <w:left w:val="none" w:sz="0" w:space="0" w:color="auto"/>
        <w:bottom w:val="none" w:sz="0" w:space="0" w:color="auto"/>
        <w:right w:val="none" w:sz="0" w:space="0" w:color="auto"/>
      </w:divBdr>
    </w:div>
    <w:div w:id="791939109">
      <w:bodyDiv w:val="1"/>
      <w:marLeft w:val="0"/>
      <w:marRight w:val="0"/>
      <w:marTop w:val="0"/>
      <w:marBottom w:val="0"/>
      <w:divBdr>
        <w:top w:val="none" w:sz="0" w:space="0" w:color="auto"/>
        <w:left w:val="none" w:sz="0" w:space="0" w:color="auto"/>
        <w:bottom w:val="none" w:sz="0" w:space="0" w:color="auto"/>
        <w:right w:val="none" w:sz="0" w:space="0" w:color="auto"/>
      </w:divBdr>
    </w:div>
    <w:div w:id="865405769">
      <w:bodyDiv w:val="1"/>
      <w:marLeft w:val="0"/>
      <w:marRight w:val="0"/>
      <w:marTop w:val="0"/>
      <w:marBottom w:val="0"/>
      <w:divBdr>
        <w:top w:val="none" w:sz="0" w:space="0" w:color="auto"/>
        <w:left w:val="none" w:sz="0" w:space="0" w:color="auto"/>
        <w:bottom w:val="none" w:sz="0" w:space="0" w:color="auto"/>
        <w:right w:val="none" w:sz="0" w:space="0" w:color="auto"/>
      </w:divBdr>
      <w:divsChild>
        <w:div w:id="1126123880">
          <w:marLeft w:val="0"/>
          <w:marRight w:val="0"/>
          <w:marTop w:val="0"/>
          <w:marBottom w:val="0"/>
          <w:divBdr>
            <w:top w:val="none" w:sz="0" w:space="0" w:color="auto"/>
            <w:left w:val="none" w:sz="0" w:space="0" w:color="auto"/>
            <w:bottom w:val="none" w:sz="0" w:space="0" w:color="auto"/>
            <w:right w:val="none" w:sz="0" w:space="0" w:color="auto"/>
          </w:divBdr>
          <w:divsChild>
            <w:div w:id="1363484072">
              <w:marLeft w:val="0"/>
              <w:marRight w:val="0"/>
              <w:marTop w:val="0"/>
              <w:marBottom w:val="0"/>
              <w:divBdr>
                <w:top w:val="none" w:sz="0" w:space="0" w:color="auto"/>
                <w:left w:val="none" w:sz="0" w:space="0" w:color="auto"/>
                <w:bottom w:val="none" w:sz="0" w:space="0" w:color="auto"/>
                <w:right w:val="none" w:sz="0" w:space="0" w:color="auto"/>
              </w:divBdr>
              <w:divsChild>
                <w:div w:id="1430852194">
                  <w:marLeft w:val="0"/>
                  <w:marRight w:val="0"/>
                  <w:marTop w:val="0"/>
                  <w:marBottom w:val="0"/>
                  <w:divBdr>
                    <w:top w:val="none" w:sz="0" w:space="0" w:color="auto"/>
                    <w:left w:val="none" w:sz="0" w:space="0" w:color="auto"/>
                    <w:bottom w:val="none" w:sz="0" w:space="0" w:color="auto"/>
                    <w:right w:val="none" w:sz="0" w:space="0" w:color="auto"/>
                  </w:divBdr>
                  <w:divsChild>
                    <w:div w:id="10957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08618">
      <w:bodyDiv w:val="1"/>
      <w:marLeft w:val="0"/>
      <w:marRight w:val="0"/>
      <w:marTop w:val="0"/>
      <w:marBottom w:val="0"/>
      <w:divBdr>
        <w:top w:val="none" w:sz="0" w:space="0" w:color="auto"/>
        <w:left w:val="none" w:sz="0" w:space="0" w:color="auto"/>
        <w:bottom w:val="none" w:sz="0" w:space="0" w:color="auto"/>
        <w:right w:val="none" w:sz="0" w:space="0" w:color="auto"/>
      </w:divBdr>
    </w:div>
    <w:div w:id="197921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nchling.com/signin/welco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addgene.org/guides/crisp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log.addgene.org/how-to-design-your-grna-for-crispr-genome-editing"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5DFDD-6005-43C9-8230-640365EDE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740</Words>
  <Characters>4219</Characters>
  <Application>Microsoft Office Word</Application>
  <DocSecurity>0</DocSecurity>
  <Lines>35</Lines>
  <Paragraphs>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 Liimatta</dc:creator>
  <cp:keywords/>
  <dc:description/>
  <cp:lastModifiedBy>Sevigny, Myriam</cp:lastModifiedBy>
  <cp:revision>98</cp:revision>
  <cp:lastPrinted>2022-01-24T10:00:00Z</cp:lastPrinted>
  <dcterms:created xsi:type="dcterms:W3CDTF">2022-05-27T06:37:00Z</dcterms:created>
  <dcterms:modified xsi:type="dcterms:W3CDTF">2023-02-20T14:26:00Z</dcterms:modified>
</cp:coreProperties>
</file>